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62" w:rsidRPr="00EC3DBD" w:rsidRDefault="00607E24" w:rsidP="00B378DC">
      <w:pPr>
        <w:spacing w:after="120" w:line="240" w:lineRule="auto"/>
        <w:jc w:val="center"/>
        <w:outlineLvl w:val="0"/>
        <w:rPr>
          <w:rFonts w:ascii="Tw Cen MT" w:hAnsi="Tw Cen MT"/>
          <w:b/>
          <w:sz w:val="24"/>
          <w:szCs w:val="24"/>
        </w:rPr>
      </w:pPr>
      <w:bookmarkStart w:id="0" w:name="_GoBack"/>
      <w:bookmarkEnd w:id="0"/>
      <w:r w:rsidRPr="00EC3DBD">
        <w:rPr>
          <w:rFonts w:ascii="Tw Cen MT" w:hAnsi="Tw Cen MT"/>
          <w:b/>
          <w:sz w:val="24"/>
          <w:szCs w:val="24"/>
        </w:rPr>
        <w:t>Modeling the Effect of Anthropogenic Inputs on</w:t>
      </w:r>
      <w:r w:rsidR="005E7662" w:rsidRPr="00EC3DBD">
        <w:rPr>
          <w:rFonts w:ascii="Tw Cen MT" w:hAnsi="Tw Cen MT"/>
          <w:b/>
          <w:sz w:val="24"/>
          <w:szCs w:val="24"/>
        </w:rPr>
        <w:t xml:space="preserve"> Ocean Acidification </w:t>
      </w:r>
    </w:p>
    <w:p w:rsidR="00EF417E" w:rsidRPr="00EC3DBD" w:rsidRDefault="005E7662" w:rsidP="008549EF">
      <w:pPr>
        <w:spacing w:after="120" w:line="240" w:lineRule="auto"/>
        <w:jc w:val="center"/>
        <w:rPr>
          <w:rFonts w:ascii="Tw Cen MT" w:hAnsi="Tw Cen MT"/>
          <w:b/>
          <w:sz w:val="24"/>
          <w:szCs w:val="24"/>
        </w:rPr>
      </w:pPr>
      <w:r w:rsidRPr="00EC3DBD">
        <w:rPr>
          <w:rFonts w:ascii="Tw Cen MT" w:hAnsi="Tw Cen MT"/>
          <w:b/>
          <w:sz w:val="24"/>
          <w:szCs w:val="24"/>
        </w:rPr>
        <w:t>and Hypoxia in the</w:t>
      </w:r>
      <w:r w:rsidR="00607E24" w:rsidRPr="00EC3DBD">
        <w:rPr>
          <w:rFonts w:ascii="Tw Cen MT" w:hAnsi="Tw Cen MT"/>
          <w:b/>
          <w:sz w:val="24"/>
          <w:szCs w:val="24"/>
        </w:rPr>
        <w:t xml:space="preserve"> Southern California Bight</w:t>
      </w:r>
    </w:p>
    <w:p w:rsidR="00607E24" w:rsidRPr="00EC3DBD" w:rsidRDefault="00F235DD" w:rsidP="008549EF">
      <w:pPr>
        <w:spacing w:after="120" w:line="240" w:lineRule="auto"/>
        <w:jc w:val="center"/>
        <w:rPr>
          <w:rFonts w:ascii="Tw Cen MT" w:hAnsi="Tw Cen MT"/>
          <w:b/>
          <w:sz w:val="24"/>
          <w:szCs w:val="24"/>
        </w:rPr>
      </w:pPr>
      <w:r>
        <w:rPr>
          <w:rFonts w:ascii="Tw Cen MT" w:hAnsi="Tw Cen MT"/>
          <w:b/>
          <w:sz w:val="24"/>
          <w:szCs w:val="24"/>
        </w:rPr>
        <w:t>Special CTAG Intersessional Meeting on OAH Modeling</w:t>
      </w:r>
    </w:p>
    <w:p w:rsidR="00607E24" w:rsidRPr="00EC3DBD" w:rsidRDefault="00AC2FDA" w:rsidP="008549EF">
      <w:pPr>
        <w:spacing w:after="120" w:line="240" w:lineRule="auto"/>
        <w:jc w:val="center"/>
        <w:rPr>
          <w:rFonts w:ascii="Tw Cen MT" w:hAnsi="Tw Cen MT"/>
          <w:b/>
          <w:sz w:val="24"/>
          <w:szCs w:val="24"/>
        </w:rPr>
      </w:pPr>
      <w:r w:rsidRPr="00EC3DBD">
        <w:rPr>
          <w:rFonts w:ascii="Tw Cen MT" w:hAnsi="Tw Cen MT"/>
          <w:b/>
          <w:sz w:val="24"/>
          <w:szCs w:val="24"/>
        </w:rPr>
        <w:t xml:space="preserve">June </w:t>
      </w:r>
      <w:r w:rsidR="00F235DD">
        <w:rPr>
          <w:rFonts w:ascii="Tw Cen MT" w:hAnsi="Tw Cen MT"/>
          <w:b/>
          <w:sz w:val="24"/>
          <w:szCs w:val="24"/>
        </w:rPr>
        <w:t>26</w:t>
      </w:r>
      <w:r w:rsidRPr="00EC3DBD">
        <w:rPr>
          <w:rFonts w:ascii="Tw Cen MT" w:hAnsi="Tw Cen MT"/>
          <w:b/>
          <w:sz w:val="24"/>
          <w:szCs w:val="24"/>
        </w:rPr>
        <w:t>, 201</w:t>
      </w:r>
      <w:r w:rsidR="00F235DD">
        <w:rPr>
          <w:rFonts w:ascii="Tw Cen MT" w:hAnsi="Tw Cen MT"/>
          <w:b/>
          <w:sz w:val="24"/>
          <w:szCs w:val="24"/>
        </w:rPr>
        <w:t>8</w:t>
      </w:r>
      <w:r w:rsidR="00822493" w:rsidRPr="00EC3DBD">
        <w:rPr>
          <w:rFonts w:ascii="Tw Cen MT" w:hAnsi="Tw Cen MT"/>
          <w:b/>
          <w:sz w:val="24"/>
          <w:szCs w:val="24"/>
        </w:rPr>
        <w:t xml:space="preserve">, </w:t>
      </w:r>
      <w:r w:rsidR="00607E24" w:rsidRPr="00EC3DBD">
        <w:rPr>
          <w:rFonts w:ascii="Tw Cen MT" w:hAnsi="Tw Cen MT"/>
          <w:b/>
          <w:sz w:val="24"/>
          <w:szCs w:val="24"/>
        </w:rPr>
        <w:t>9:30</w:t>
      </w:r>
      <w:r w:rsidRPr="00EC3DBD">
        <w:rPr>
          <w:rFonts w:ascii="Tw Cen MT" w:hAnsi="Tw Cen MT"/>
          <w:b/>
          <w:sz w:val="24"/>
          <w:szCs w:val="24"/>
        </w:rPr>
        <w:t xml:space="preserve"> </w:t>
      </w:r>
      <w:r w:rsidR="00607E24" w:rsidRPr="00EC3DBD">
        <w:rPr>
          <w:rFonts w:ascii="Tw Cen MT" w:hAnsi="Tw Cen MT"/>
          <w:b/>
          <w:sz w:val="24"/>
          <w:szCs w:val="24"/>
        </w:rPr>
        <w:t>am – 3:30</w:t>
      </w:r>
      <w:r w:rsidRPr="00EC3DBD">
        <w:rPr>
          <w:rFonts w:ascii="Tw Cen MT" w:hAnsi="Tw Cen MT"/>
          <w:b/>
          <w:sz w:val="24"/>
          <w:szCs w:val="24"/>
        </w:rPr>
        <w:t xml:space="preserve"> </w:t>
      </w:r>
      <w:r w:rsidR="00607E24" w:rsidRPr="00EC3DBD">
        <w:rPr>
          <w:rFonts w:ascii="Tw Cen MT" w:hAnsi="Tw Cen MT"/>
          <w:b/>
          <w:sz w:val="24"/>
          <w:szCs w:val="24"/>
        </w:rPr>
        <w:t>pm</w:t>
      </w:r>
    </w:p>
    <w:p w:rsidR="00607E24" w:rsidRPr="00EC3DBD" w:rsidRDefault="00EF417E" w:rsidP="008549EF">
      <w:pPr>
        <w:spacing w:after="120" w:line="240" w:lineRule="auto"/>
        <w:jc w:val="center"/>
        <w:rPr>
          <w:rFonts w:ascii="Tw Cen MT" w:hAnsi="Tw Cen MT"/>
          <w:b/>
          <w:sz w:val="24"/>
          <w:szCs w:val="24"/>
        </w:rPr>
      </w:pPr>
      <w:r w:rsidRPr="00EC3DBD">
        <w:rPr>
          <w:rFonts w:ascii="Tw Cen MT" w:hAnsi="Tw Cen MT"/>
          <w:b/>
          <w:sz w:val="24"/>
          <w:szCs w:val="24"/>
        </w:rPr>
        <w:t>------------------------</w:t>
      </w:r>
      <w:r w:rsidR="00607E24" w:rsidRPr="00EC3DBD">
        <w:rPr>
          <w:rFonts w:ascii="Tw Cen MT" w:hAnsi="Tw Cen MT"/>
          <w:b/>
          <w:sz w:val="24"/>
          <w:szCs w:val="24"/>
        </w:rPr>
        <w:t>----------------------------------------------------------------------------------------------------</w:t>
      </w:r>
    </w:p>
    <w:p w:rsidR="004C7745" w:rsidRPr="00EC3DBD" w:rsidRDefault="00AC2FDA" w:rsidP="008549EF">
      <w:pPr>
        <w:spacing w:after="120" w:line="240" w:lineRule="auto"/>
        <w:rPr>
          <w:rFonts w:ascii="Tw Cen MT" w:hAnsi="Tw Cen MT" w:cs="Calibri"/>
          <w:sz w:val="24"/>
          <w:szCs w:val="24"/>
        </w:rPr>
      </w:pPr>
      <w:r w:rsidRPr="00EC3DBD">
        <w:rPr>
          <w:rFonts w:ascii="Tw Cen MT" w:hAnsi="Tw Cen MT" w:cs="Calibri"/>
          <w:b/>
          <w:sz w:val="24"/>
          <w:szCs w:val="24"/>
          <w:u w:val="single"/>
        </w:rPr>
        <w:t>Meeting</w:t>
      </w:r>
      <w:r w:rsidR="00EF417E" w:rsidRPr="00EC3DBD">
        <w:rPr>
          <w:rFonts w:ascii="Tw Cen MT" w:hAnsi="Tw Cen MT" w:cs="Calibri"/>
          <w:b/>
          <w:sz w:val="24"/>
          <w:szCs w:val="24"/>
          <w:u w:val="single"/>
        </w:rPr>
        <w:t xml:space="preserve"> Location: </w:t>
      </w:r>
      <w:r w:rsidR="00EF417E" w:rsidRPr="00EC3DBD">
        <w:rPr>
          <w:rFonts w:ascii="Tw Cen MT" w:hAnsi="Tw Cen MT" w:cs="Calibri"/>
          <w:sz w:val="24"/>
          <w:szCs w:val="24"/>
        </w:rPr>
        <w:t>Southern California Coastal Water Research Project Authority, 3535 Harbor Blvd., Suite 110, Costa Mesa CA 92626</w:t>
      </w:r>
    </w:p>
    <w:p w:rsidR="00EF417E" w:rsidRPr="00EC3DBD" w:rsidRDefault="00EF417E" w:rsidP="008549EF">
      <w:pPr>
        <w:spacing w:after="120" w:line="240" w:lineRule="auto"/>
        <w:rPr>
          <w:rFonts w:ascii="Tw Cen MT" w:hAnsi="Tw Cen MT" w:cs="Calibri"/>
          <w:b/>
          <w:sz w:val="24"/>
          <w:szCs w:val="24"/>
          <w:u w:val="single"/>
        </w:rPr>
      </w:pPr>
      <w:r w:rsidRPr="00EC3DBD">
        <w:rPr>
          <w:rFonts w:ascii="Tw Cen MT" w:hAnsi="Tw Cen MT" w:cs="Calibri"/>
          <w:sz w:val="24"/>
          <w:szCs w:val="24"/>
        </w:rPr>
        <w:t xml:space="preserve"> </w:t>
      </w:r>
    </w:p>
    <w:p w:rsidR="00822493" w:rsidRPr="00EC3DBD" w:rsidRDefault="00822493" w:rsidP="00B378DC">
      <w:pPr>
        <w:spacing w:after="120" w:line="240" w:lineRule="auto"/>
        <w:outlineLvl w:val="0"/>
        <w:rPr>
          <w:rFonts w:ascii="Tw Cen MT" w:hAnsi="Tw Cen MT" w:cs="Calibri"/>
          <w:b/>
          <w:sz w:val="24"/>
          <w:szCs w:val="24"/>
          <w:u w:val="single"/>
        </w:rPr>
      </w:pPr>
      <w:r w:rsidRPr="00EC3DBD">
        <w:rPr>
          <w:rFonts w:ascii="Tw Cen MT" w:hAnsi="Tw Cen MT" w:cs="Calibri"/>
          <w:b/>
          <w:sz w:val="24"/>
          <w:szCs w:val="24"/>
          <w:u w:val="single"/>
        </w:rPr>
        <w:t>Meeting Goals:</w:t>
      </w:r>
    </w:p>
    <w:p w:rsidR="00822493" w:rsidRPr="00EC3DBD" w:rsidRDefault="00822493" w:rsidP="008549EF">
      <w:pPr>
        <w:pStyle w:val="ListParagraph"/>
        <w:numPr>
          <w:ilvl w:val="0"/>
          <w:numId w:val="5"/>
        </w:numPr>
        <w:tabs>
          <w:tab w:val="left" w:pos="360"/>
        </w:tabs>
        <w:spacing w:after="120" w:line="240" w:lineRule="auto"/>
        <w:ind w:left="360" w:right="-90" w:hanging="450"/>
        <w:contextualSpacing w:val="0"/>
        <w:rPr>
          <w:rFonts w:ascii="Tw Cen MT" w:hAnsi="Tw Cen MT" w:cs="Calibri"/>
          <w:sz w:val="24"/>
          <w:szCs w:val="24"/>
        </w:rPr>
      </w:pPr>
      <w:r w:rsidRPr="00EC3DBD">
        <w:rPr>
          <w:rFonts w:ascii="Tw Cen MT" w:hAnsi="Tw Cen MT" w:cs="Calibri"/>
          <w:sz w:val="24"/>
          <w:szCs w:val="24"/>
        </w:rPr>
        <w:t xml:space="preserve">Update </w:t>
      </w:r>
      <w:r w:rsidR="00F235DD">
        <w:rPr>
          <w:rFonts w:ascii="Tw Cen MT" w:hAnsi="Tw Cen MT" w:cs="Calibri"/>
          <w:sz w:val="24"/>
          <w:szCs w:val="24"/>
        </w:rPr>
        <w:t>on ROMs-BEC modeling progress</w:t>
      </w:r>
      <w:r w:rsidRPr="00EC3DBD">
        <w:rPr>
          <w:rFonts w:ascii="Tw Cen MT" w:hAnsi="Tw Cen MT" w:cs="Calibri"/>
          <w:sz w:val="24"/>
          <w:szCs w:val="24"/>
        </w:rPr>
        <w:t xml:space="preserve">; </w:t>
      </w:r>
    </w:p>
    <w:p w:rsidR="00822493" w:rsidRDefault="00F235DD" w:rsidP="008549EF">
      <w:pPr>
        <w:pStyle w:val="ListParagraph"/>
        <w:numPr>
          <w:ilvl w:val="0"/>
          <w:numId w:val="5"/>
        </w:numPr>
        <w:spacing w:after="120" w:line="240" w:lineRule="auto"/>
        <w:ind w:left="360"/>
        <w:contextualSpacing w:val="0"/>
        <w:rPr>
          <w:rFonts w:ascii="Tw Cen MT" w:hAnsi="Tw Cen MT" w:cs="Calibri"/>
          <w:sz w:val="24"/>
          <w:szCs w:val="24"/>
        </w:rPr>
      </w:pPr>
      <w:r>
        <w:rPr>
          <w:rFonts w:ascii="Tw Cen MT" w:hAnsi="Tw Cen MT" w:cs="Calibri"/>
          <w:sz w:val="24"/>
          <w:szCs w:val="24"/>
        </w:rPr>
        <w:t>Discuss proposed approach to conduct a focused validation of the ROMs-BEC for application to local pollution impact assessment</w:t>
      </w:r>
    </w:p>
    <w:p w:rsidR="00F235DD" w:rsidRPr="00EC3DBD" w:rsidRDefault="00F235DD" w:rsidP="008549EF">
      <w:pPr>
        <w:pStyle w:val="ListParagraph"/>
        <w:numPr>
          <w:ilvl w:val="0"/>
          <w:numId w:val="5"/>
        </w:numPr>
        <w:spacing w:after="120" w:line="240" w:lineRule="auto"/>
        <w:ind w:left="360"/>
        <w:contextualSpacing w:val="0"/>
        <w:rPr>
          <w:rFonts w:ascii="Tw Cen MT" w:hAnsi="Tw Cen MT" w:cs="Calibri"/>
          <w:sz w:val="24"/>
          <w:szCs w:val="24"/>
        </w:rPr>
      </w:pPr>
      <w:r>
        <w:rPr>
          <w:rFonts w:ascii="Tw Cen MT" w:hAnsi="Tw Cen MT" w:cs="Calibri"/>
          <w:sz w:val="24"/>
          <w:szCs w:val="24"/>
        </w:rPr>
        <w:t xml:space="preserve">Discuss proposed approach to conduct a pollution impact assessment </w:t>
      </w:r>
      <w:r w:rsidR="00573633">
        <w:rPr>
          <w:rFonts w:ascii="Tw Cen MT" w:hAnsi="Tw Cen MT" w:cs="Calibri"/>
          <w:sz w:val="24"/>
          <w:szCs w:val="24"/>
        </w:rPr>
        <w:t>based on</w:t>
      </w:r>
      <w:r>
        <w:rPr>
          <w:rFonts w:ascii="Tw Cen MT" w:hAnsi="Tw Cen MT" w:cs="Calibri"/>
          <w:sz w:val="24"/>
          <w:szCs w:val="24"/>
        </w:rPr>
        <w:t xml:space="preserve"> acidification and hypoxia impacts. </w:t>
      </w:r>
    </w:p>
    <w:p w:rsidR="004B7FBF" w:rsidRPr="00EC3DBD" w:rsidRDefault="004B7FBF" w:rsidP="008549EF">
      <w:pPr>
        <w:spacing w:after="120" w:line="240" w:lineRule="auto"/>
        <w:rPr>
          <w:rFonts w:ascii="Tw Cen MT" w:hAnsi="Tw Cen MT" w:cs="Calibri"/>
          <w:sz w:val="24"/>
          <w:szCs w:val="24"/>
        </w:rPr>
      </w:pPr>
    </w:p>
    <w:p w:rsidR="004B7FBF" w:rsidRPr="00F235DD" w:rsidRDefault="004B7FBF" w:rsidP="00B378DC">
      <w:pPr>
        <w:spacing w:after="120" w:line="240" w:lineRule="auto"/>
        <w:outlineLvl w:val="0"/>
        <w:rPr>
          <w:rFonts w:ascii="Tw Cen MT" w:hAnsi="Tw Cen MT" w:cs="Calibri"/>
          <w:sz w:val="24"/>
          <w:szCs w:val="24"/>
          <w:u w:val="single"/>
        </w:rPr>
      </w:pPr>
      <w:r w:rsidRPr="00F235DD">
        <w:rPr>
          <w:rFonts w:ascii="Tw Cen MT" w:hAnsi="Tw Cen MT" w:cs="Calibri"/>
          <w:sz w:val="24"/>
          <w:szCs w:val="24"/>
          <w:u w:val="single"/>
        </w:rPr>
        <w:t>Meeting Attendees</w:t>
      </w:r>
    </w:p>
    <w:p w:rsidR="004B7FBF" w:rsidRPr="00EC3DBD" w:rsidRDefault="004B7FBF" w:rsidP="008549EF">
      <w:pPr>
        <w:spacing w:after="120" w:line="240" w:lineRule="auto"/>
        <w:rPr>
          <w:rFonts w:ascii="Tw Cen MT" w:hAnsi="Tw Cen MT" w:cs="Calibri"/>
          <w:sz w:val="24"/>
          <w:szCs w:val="24"/>
        </w:rPr>
        <w:sectPr w:rsidR="004B7FBF" w:rsidRPr="00EC3DBD">
          <w:headerReference w:type="default" r:id="rId8"/>
          <w:pgSz w:w="12240" w:h="15840"/>
          <w:pgMar w:top="1440" w:right="1440" w:bottom="1440" w:left="1440" w:header="720" w:footer="720" w:gutter="0"/>
          <w:cols w:space="720"/>
          <w:docGrid w:linePitch="360"/>
        </w:sectPr>
      </w:pPr>
    </w:p>
    <w:p w:rsidR="00F235DD" w:rsidRDefault="00F235DD" w:rsidP="008549EF">
      <w:pPr>
        <w:spacing w:after="120" w:line="240" w:lineRule="auto"/>
        <w:rPr>
          <w:rFonts w:ascii="Tw Cen MT" w:hAnsi="Tw Cen MT" w:cs="Calibri"/>
          <w:sz w:val="24"/>
          <w:szCs w:val="24"/>
        </w:rPr>
      </w:pPr>
      <w:r>
        <w:rPr>
          <w:rFonts w:ascii="Tw Cen MT" w:hAnsi="Tw Cen MT" w:cs="Calibri"/>
          <w:sz w:val="24"/>
          <w:szCs w:val="24"/>
        </w:rPr>
        <w:t>Katherine Faick</w:t>
      </w:r>
      <w:r w:rsidR="004B7FBF" w:rsidRPr="00EC3DBD">
        <w:rPr>
          <w:rFonts w:ascii="Tw Cen MT" w:hAnsi="Tw Cen MT" w:cs="Calibri"/>
          <w:sz w:val="24"/>
          <w:szCs w:val="24"/>
        </w:rPr>
        <w:tab/>
        <w:t>State Water Board</w:t>
      </w:r>
      <w:r>
        <w:rPr>
          <w:rFonts w:ascii="Tw Cen MT" w:hAnsi="Tw Cen MT" w:cs="Calibri"/>
          <w:sz w:val="24"/>
          <w:szCs w:val="24"/>
        </w:rPr>
        <w:t xml:space="preserve"> </w:t>
      </w:r>
    </w:p>
    <w:p w:rsidR="004B7FBF" w:rsidRPr="00EC3DBD" w:rsidRDefault="004B7FBF" w:rsidP="008549EF">
      <w:pPr>
        <w:spacing w:after="120" w:line="240" w:lineRule="auto"/>
        <w:rPr>
          <w:rFonts w:ascii="Tw Cen MT" w:hAnsi="Tw Cen MT" w:cs="Calibri"/>
          <w:sz w:val="24"/>
          <w:szCs w:val="24"/>
        </w:rPr>
      </w:pPr>
      <w:r w:rsidRPr="00EC3DBD">
        <w:rPr>
          <w:rFonts w:ascii="Tw Cen MT" w:hAnsi="Tw Cen MT" w:cs="Calibri"/>
          <w:sz w:val="24"/>
          <w:szCs w:val="24"/>
        </w:rPr>
        <w:t>Andy Leising</w:t>
      </w:r>
      <w:r w:rsidRPr="00EC3DBD">
        <w:rPr>
          <w:rFonts w:ascii="Tw Cen MT" w:hAnsi="Tw Cen MT" w:cs="Calibri"/>
          <w:sz w:val="24"/>
          <w:szCs w:val="24"/>
        </w:rPr>
        <w:tab/>
      </w:r>
      <w:r w:rsidRPr="00EC3DBD">
        <w:rPr>
          <w:rFonts w:ascii="Tw Cen MT" w:hAnsi="Tw Cen MT" w:cs="Calibri"/>
          <w:sz w:val="24"/>
          <w:szCs w:val="24"/>
        </w:rPr>
        <w:tab/>
        <w:t>SWFSC</w:t>
      </w:r>
    </w:p>
    <w:p w:rsidR="004B7FBF" w:rsidRPr="00EC3DBD" w:rsidRDefault="004B7FBF" w:rsidP="008549EF">
      <w:pPr>
        <w:spacing w:after="120" w:line="240" w:lineRule="auto"/>
        <w:rPr>
          <w:rFonts w:ascii="Tw Cen MT" w:hAnsi="Tw Cen MT" w:cs="Calibri"/>
          <w:sz w:val="24"/>
          <w:szCs w:val="24"/>
        </w:rPr>
      </w:pPr>
      <w:r w:rsidRPr="00EC3DBD">
        <w:rPr>
          <w:rFonts w:ascii="Tw Cen MT" w:hAnsi="Tw Cen MT" w:cs="Calibri"/>
          <w:sz w:val="24"/>
          <w:szCs w:val="24"/>
        </w:rPr>
        <w:t>Eric Wilkins</w:t>
      </w:r>
      <w:r w:rsidRPr="00EC3DBD">
        <w:rPr>
          <w:rFonts w:ascii="Tw Cen MT" w:hAnsi="Tw Cen MT" w:cs="Calibri"/>
          <w:sz w:val="24"/>
          <w:szCs w:val="24"/>
        </w:rPr>
        <w:tab/>
      </w:r>
      <w:r w:rsidRPr="00EC3DBD">
        <w:rPr>
          <w:rFonts w:ascii="Tw Cen MT" w:hAnsi="Tw Cen MT" w:cs="Calibri"/>
          <w:sz w:val="24"/>
          <w:szCs w:val="24"/>
        </w:rPr>
        <w:tab/>
        <w:t>CDFW</w:t>
      </w:r>
    </w:p>
    <w:p w:rsidR="004B7FBF" w:rsidRPr="00EC3DBD" w:rsidRDefault="004B7FBF" w:rsidP="008549EF">
      <w:pPr>
        <w:spacing w:after="120" w:line="240" w:lineRule="auto"/>
        <w:rPr>
          <w:rFonts w:ascii="Tw Cen MT" w:hAnsi="Tw Cen MT" w:cs="Calibri"/>
          <w:sz w:val="24"/>
          <w:szCs w:val="24"/>
        </w:rPr>
      </w:pPr>
      <w:r w:rsidRPr="00EC3DBD">
        <w:rPr>
          <w:rFonts w:ascii="Tw Cen MT" w:hAnsi="Tw Cen MT" w:cs="Calibri"/>
          <w:sz w:val="24"/>
          <w:szCs w:val="24"/>
        </w:rPr>
        <w:t>George Robertson</w:t>
      </w:r>
      <w:r w:rsidRPr="00EC3DBD">
        <w:rPr>
          <w:rFonts w:ascii="Tw Cen MT" w:hAnsi="Tw Cen MT" w:cs="Calibri"/>
          <w:sz w:val="24"/>
          <w:szCs w:val="24"/>
        </w:rPr>
        <w:tab/>
        <w:t>OCSD</w:t>
      </w:r>
    </w:p>
    <w:p w:rsidR="004B7FBF" w:rsidRPr="00EC3DBD" w:rsidRDefault="00F235DD" w:rsidP="008549EF">
      <w:pPr>
        <w:spacing w:after="120" w:line="240" w:lineRule="auto"/>
        <w:rPr>
          <w:rFonts w:ascii="Tw Cen MT" w:hAnsi="Tw Cen MT" w:cs="Calibri"/>
          <w:sz w:val="24"/>
          <w:szCs w:val="24"/>
        </w:rPr>
      </w:pPr>
      <w:r>
        <w:rPr>
          <w:rFonts w:ascii="Tw Cen MT" w:hAnsi="Tw Cen MT" w:cs="Calibri"/>
          <w:sz w:val="24"/>
          <w:szCs w:val="24"/>
        </w:rPr>
        <w:t>Naoko Munakata</w:t>
      </w:r>
      <w:r w:rsidR="004B7FBF" w:rsidRPr="00EC3DBD">
        <w:rPr>
          <w:rFonts w:ascii="Tw Cen MT" w:hAnsi="Tw Cen MT" w:cs="Calibri"/>
          <w:sz w:val="24"/>
          <w:szCs w:val="24"/>
        </w:rPr>
        <w:t xml:space="preserve"> </w:t>
      </w:r>
      <w:r w:rsidR="004B7FBF" w:rsidRPr="00EC3DBD">
        <w:rPr>
          <w:rFonts w:ascii="Tw Cen MT" w:hAnsi="Tw Cen MT" w:cs="Calibri"/>
          <w:sz w:val="24"/>
          <w:szCs w:val="24"/>
        </w:rPr>
        <w:tab/>
        <w:t>LACSD</w:t>
      </w:r>
    </w:p>
    <w:p w:rsidR="004B7FBF" w:rsidRPr="00EC3DBD" w:rsidRDefault="00F235DD" w:rsidP="008549EF">
      <w:pPr>
        <w:spacing w:after="120" w:line="240" w:lineRule="auto"/>
        <w:rPr>
          <w:rFonts w:ascii="Tw Cen MT" w:hAnsi="Tw Cen MT" w:cs="Calibri"/>
          <w:sz w:val="24"/>
          <w:szCs w:val="24"/>
        </w:rPr>
      </w:pPr>
      <w:r>
        <w:rPr>
          <w:rFonts w:ascii="Tw Cen MT" w:hAnsi="Tw Cen MT" w:cs="Calibri"/>
          <w:sz w:val="24"/>
          <w:szCs w:val="24"/>
        </w:rPr>
        <w:t>JoAnn Linnenbrink</w:t>
      </w:r>
      <w:r w:rsidR="004B7FBF" w:rsidRPr="00EC3DBD">
        <w:rPr>
          <w:rFonts w:ascii="Tw Cen MT" w:hAnsi="Tw Cen MT" w:cs="Calibri"/>
          <w:sz w:val="24"/>
          <w:szCs w:val="24"/>
        </w:rPr>
        <w:tab/>
        <w:t>City of LA</w:t>
      </w:r>
    </w:p>
    <w:p w:rsidR="004B7FBF" w:rsidRPr="00EC3DBD" w:rsidRDefault="004B7FBF" w:rsidP="008549EF">
      <w:pPr>
        <w:spacing w:after="120" w:line="240" w:lineRule="auto"/>
        <w:rPr>
          <w:rFonts w:ascii="Tw Cen MT" w:hAnsi="Tw Cen MT" w:cs="Calibri"/>
          <w:sz w:val="24"/>
          <w:szCs w:val="24"/>
        </w:rPr>
      </w:pPr>
      <w:r w:rsidRPr="00EC3DBD">
        <w:rPr>
          <w:rFonts w:ascii="Tw Cen MT" w:hAnsi="Tw Cen MT" w:cs="Calibri"/>
          <w:sz w:val="24"/>
          <w:szCs w:val="24"/>
        </w:rPr>
        <w:t>Kristen Davis</w:t>
      </w:r>
      <w:r w:rsidRPr="00EC3DBD">
        <w:rPr>
          <w:rFonts w:ascii="Tw Cen MT" w:hAnsi="Tw Cen MT" w:cs="Calibri"/>
          <w:sz w:val="24"/>
          <w:szCs w:val="24"/>
        </w:rPr>
        <w:tab/>
      </w:r>
      <w:r w:rsidRPr="00EC3DBD">
        <w:rPr>
          <w:rFonts w:ascii="Tw Cen MT" w:hAnsi="Tw Cen MT" w:cs="Calibri"/>
          <w:sz w:val="24"/>
          <w:szCs w:val="24"/>
        </w:rPr>
        <w:tab/>
        <w:t>UCI/SCOOS</w:t>
      </w:r>
    </w:p>
    <w:p w:rsidR="004B7FBF" w:rsidRPr="00EC3DBD" w:rsidRDefault="004B7FBF" w:rsidP="008549EF">
      <w:pPr>
        <w:spacing w:after="120" w:line="240" w:lineRule="auto"/>
        <w:rPr>
          <w:rFonts w:ascii="Tw Cen MT" w:hAnsi="Tw Cen MT" w:cs="Calibri"/>
          <w:sz w:val="24"/>
          <w:szCs w:val="24"/>
        </w:rPr>
      </w:pPr>
      <w:r w:rsidRPr="00EC3DBD">
        <w:rPr>
          <w:rFonts w:ascii="Tw Cen MT" w:hAnsi="Tw Cen MT" w:cs="Calibri"/>
          <w:sz w:val="24"/>
          <w:szCs w:val="24"/>
        </w:rPr>
        <w:t>Ryan Searcy</w:t>
      </w:r>
      <w:r w:rsidRPr="00EC3DBD">
        <w:rPr>
          <w:rFonts w:ascii="Tw Cen MT" w:hAnsi="Tw Cen MT" w:cs="Calibri"/>
          <w:sz w:val="24"/>
          <w:szCs w:val="24"/>
        </w:rPr>
        <w:tab/>
      </w:r>
      <w:r w:rsidRPr="00EC3DBD">
        <w:rPr>
          <w:rFonts w:ascii="Tw Cen MT" w:hAnsi="Tw Cen MT" w:cs="Calibri"/>
          <w:sz w:val="24"/>
          <w:szCs w:val="24"/>
        </w:rPr>
        <w:tab/>
        <w:t>Heal the Bay</w:t>
      </w:r>
    </w:p>
    <w:p w:rsidR="004B7FBF" w:rsidRPr="00EC3DBD" w:rsidRDefault="004B7FBF" w:rsidP="008549EF">
      <w:pPr>
        <w:spacing w:after="120" w:line="240" w:lineRule="auto"/>
        <w:rPr>
          <w:rFonts w:ascii="Tw Cen MT" w:hAnsi="Tw Cen MT" w:cs="Calibri"/>
          <w:sz w:val="24"/>
          <w:szCs w:val="24"/>
        </w:rPr>
      </w:pPr>
      <w:r w:rsidRPr="00EC3DBD">
        <w:rPr>
          <w:rFonts w:ascii="Tw Cen MT" w:hAnsi="Tw Cen MT" w:cs="Calibri"/>
          <w:sz w:val="24"/>
          <w:szCs w:val="24"/>
        </w:rPr>
        <w:t>Beth Turner</w:t>
      </w:r>
      <w:r w:rsidRPr="00EC3DBD">
        <w:rPr>
          <w:rFonts w:ascii="Tw Cen MT" w:hAnsi="Tw Cen MT" w:cs="Calibri"/>
          <w:sz w:val="24"/>
          <w:szCs w:val="24"/>
        </w:rPr>
        <w:tab/>
      </w:r>
      <w:r w:rsidRPr="00EC3DBD">
        <w:rPr>
          <w:rFonts w:ascii="Tw Cen MT" w:hAnsi="Tw Cen MT" w:cs="Calibri"/>
          <w:sz w:val="24"/>
          <w:szCs w:val="24"/>
        </w:rPr>
        <w:tab/>
        <w:t>NOAA</w:t>
      </w:r>
    </w:p>
    <w:p w:rsidR="004B7FBF" w:rsidRPr="00EC3DBD" w:rsidRDefault="004B7FBF" w:rsidP="008549EF">
      <w:pPr>
        <w:spacing w:after="120" w:line="240" w:lineRule="auto"/>
        <w:rPr>
          <w:rFonts w:ascii="Tw Cen MT" w:hAnsi="Tw Cen MT" w:cs="Calibri"/>
          <w:sz w:val="24"/>
          <w:szCs w:val="24"/>
        </w:rPr>
      </w:pPr>
      <w:r w:rsidRPr="00EC3DBD">
        <w:rPr>
          <w:rFonts w:ascii="Tw Cen MT" w:hAnsi="Tw Cen MT" w:cs="Calibri"/>
          <w:sz w:val="24"/>
          <w:szCs w:val="24"/>
        </w:rPr>
        <w:t>Erica Ombres</w:t>
      </w:r>
      <w:r w:rsidRPr="00EC3DBD">
        <w:rPr>
          <w:rFonts w:ascii="Tw Cen MT" w:hAnsi="Tw Cen MT" w:cs="Calibri"/>
          <w:sz w:val="24"/>
          <w:szCs w:val="24"/>
        </w:rPr>
        <w:tab/>
      </w:r>
      <w:r w:rsidRPr="00EC3DBD">
        <w:rPr>
          <w:rFonts w:ascii="Tw Cen MT" w:hAnsi="Tw Cen MT" w:cs="Calibri"/>
          <w:sz w:val="24"/>
          <w:szCs w:val="24"/>
        </w:rPr>
        <w:tab/>
        <w:t>NOAA</w:t>
      </w:r>
    </w:p>
    <w:p w:rsidR="004B7FBF" w:rsidRPr="00EC3DBD" w:rsidRDefault="00F235DD" w:rsidP="008549EF">
      <w:pPr>
        <w:spacing w:after="120" w:line="240" w:lineRule="auto"/>
        <w:rPr>
          <w:rFonts w:ascii="Tw Cen MT" w:hAnsi="Tw Cen MT" w:cs="Calibri"/>
          <w:sz w:val="24"/>
          <w:szCs w:val="24"/>
        </w:rPr>
      </w:pPr>
      <w:r>
        <w:rPr>
          <w:rFonts w:ascii="Tw Cen MT" w:hAnsi="Tw Cen MT" w:cs="Calibri"/>
          <w:sz w:val="24"/>
          <w:szCs w:val="24"/>
        </w:rPr>
        <w:t>Holly Wyer</w:t>
      </w:r>
      <w:r w:rsidR="004B7FBF" w:rsidRPr="00EC3DBD">
        <w:rPr>
          <w:rFonts w:ascii="Tw Cen MT" w:hAnsi="Tw Cen MT" w:cs="Calibri"/>
          <w:sz w:val="24"/>
          <w:szCs w:val="24"/>
        </w:rPr>
        <w:t>s</w:t>
      </w:r>
      <w:r w:rsidR="004B7FBF" w:rsidRPr="00EC3DBD">
        <w:rPr>
          <w:rFonts w:ascii="Tw Cen MT" w:hAnsi="Tw Cen MT" w:cs="Calibri"/>
          <w:sz w:val="24"/>
          <w:szCs w:val="24"/>
        </w:rPr>
        <w:tab/>
      </w:r>
      <w:r w:rsidR="004B7FBF" w:rsidRPr="00EC3DBD">
        <w:rPr>
          <w:rFonts w:ascii="Tw Cen MT" w:hAnsi="Tw Cen MT" w:cs="Calibri"/>
          <w:sz w:val="24"/>
          <w:szCs w:val="24"/>
        </w:rPr>
        <w:tab/>
        <w:t>OPC</w:t>
      </w:r>
    </w:p>
    <w:p w:rsidR="004B7FBF" w:rsidRPr="00EC3DBD" w:rsidRDefault="00F235DD" w:rsidP="008549EF">
      <w:pPr>
        <w:spacing w:after="120" w:line="240" w:lineRule="auto"/>
        <w:rPr>
          <w:rFonts w:ascii="Tw Cen MT" w:hAnsi="Tw Cen MT" w:cs="Calibri"/>
          <w:sz w:val="24"/>
          <w:szCs w:val="24"/>
        </w:rPr>
      </w:pPr>
      <w:r>
        <w:rPr>
          <w:rFonts w:ascii="Tw Cen MT" w:hAnsi="Tw Cen MT" w:cs="Calibri"/>
          <w:sz w:val="24"/>
          <w:szCs w:val="24"/>
        </w:rPr>
        <w:t>Megan Hepner</w:t>
      </w:r>
      <w:r w:rsidR="004B7FBF" w:rsidRPr="00EC3DBD">
        <w:rPr>
          <w:rFonts w:ascii="Tw Cen MT" w:hAnsi="Tw Cen MT" w:cs="Calibri"/>
          <w:sz w:val="24"/>
          <w:szCs w:val="24"/>
        </w:rPr>
        <w:tab/>
        <w:t>UCSD/SCOOS</w:t>
      </w:r>
    </w:p>
    <w:p w:rsidR="004B7FBF" w:rsidRPr="00EC3DBD" w:rsidRDefault="004B7FBF" w:rsidP="008549EF">
      <w:pPr>
        <w:spacing w:after="120" w:line="240" w:lineRule="auto"/>
        <w:rPr>
          <w:rFonts w:ascii="Tw Cen MT" w:hAnsi="Tw Cen MT" w:cs="Calibri"/>
          <w:sz w:val="24"/>
          <w:szCs w:val="24"/>
        </w:rPr>
      </w:pPr>
      <w:r w:rsidRPr="00EC3DBD">
        <w:rPr>
          <w:rFonts w:ascii="Tw Cen MT" w:hAnsi="Tw Cen MT" w:cs="Calibri"/>
          <w:sz w:val="24"/>
          <w:szCs w:val="24"/>
        </w:rPr>
        <w:t>Mark Gold</w:t>
      </w:r>
      <w:r w:rsidRPr="00EC3DBD">
        <w:rPr>
          <w:rFonts w:ascii="Tw Cen MT" w:hAnsi="Tw Cen MT" w:cs="Calibri"/>
          <w:sz w:val="24"/>
          <w:szCs w:val="24"/>
        </w:rPr>
        <w:tab/>
        <w:t xml:space="preserve"> </w:t>
      </w:r>
      <w:r w:rsidRPr="00EC3DBD">
        <w:rPr>
          <w:rFonts w:ascii="Tw Cen MT" w:hAnsi="Tw Cen MT" w:cs="Calibri"/>
          <w:sz w:val="24"/>
          <w:szCs w:val="24"/>
        </w:rPr>
        <w:tab/>
        <w:t>UCLA</w:t>
      </w:r>
    </w:p>
    <w:p w:rsidR="004B7FBF" w:rsidRPr="00EC3DBD" w:rsidRDefault="004B7FBF" w:rsidP="008549EF">
      <w:pPr>
        <w:spacing w:after="120" w:line="240" w:lineRule="auto"/>
        <w:rPr>
          <w:rFonts w:ascii="Tw Cen MT" w:hAnsi="Tw Cen MT" w:cs="Calibri"/>
          <w:sz w:val="24"/>
          <w:szCs w:val="24"/>
        </w:rPr>
      </w:pPr>
      <w:r w:rsidRPr="00EC3DBD">
        <w:rPr>
          <w:rFonts w:ascii="Tw Cen MT" w:hAnsi="Tw Cen MT" w:cs="Calibri"/>
          <w:sz w:val="24"/>
          <w:szCs w:val="24"/>
        </w:rPr>
        <w:t>Daniele Bianchi</w:t>
      </w:r>
      <w:r w:rsidRPr="00EC3DBD">
        <w:rPr>
          <w:rFonts w:ascii="Tw Cen MT" w:hAnsi="Tw Cen MT" w:cs="Calibri"/>
          <w:sz w:val="24"/>
          <w:szCs w:val="24"/>
        </w:rPr>
        <w:tab/>
        <w:t>UCLA</w:t>
      </w:r>
    </w:p>
    <w:p w:rsidR="004B7FBF" w:rsidRPr="00EC3DBD" w:rsidRDefault="004B7FBF" w:rsidP="008549EF">
      <w:pPr>
        <w:spacing w:after="120" w:line="240" w:lineRule="auto"/>
        <w:rPr>
          <w:rFonts w:ascii="Tw Cen MT" w:hAnsi="Tw Cen MT" w:cs="Calibri"/>
          <w:sz w:val="24"/>
          <w:szCs w:val="24"/>
        </w:rPr>
      </w:pPr>
      <w:r w:rsidRPr="00EC3DBD">
        <w:rPr>
          <w:rFonts w:ascii="Tw Cen MT" w:hAnsi="Tw Cen MT" w:cs="Calibri"/>
          <w:sz w:val="24"/>
          <w:szCs w:val="24"/>
        </w:rPr>
        <w:t>Rich Ambrose</w:t>
      </w:r>
      <w:r w:rsidRPr="00EC3DBD">
        <w:rPr>
          <w:rFonts w:ascii="Tw Cen MT" w:hAnsi="Tw Cen MT" w:cs="Calibri"/>
          <w:sz w:val="24"/>
          <w:szCs w:val="24"/>
        </w:rPr>
        <w:tab/>
      </w:r>
      <w:r w:rsidRPr="00EC3DBD">
        <w:rPr>
          <w:rFonts w:ascii="Tw Cen MT" w:hAnsi="Tw Cen MT" w:cs="Calibri"/>
          <w:sz w:val="24"/>
          <w:szCs w:val="24"/>
        </w:rPr>
        <w:tab/>
        <w:t>UCLA</w:t>
      </w:r>
    </w:p>
    <w:p w:rsidR="004B7FBF" w:rsidRPr="00EC3DBD" w:rsidRDefault="004B7FBF" w:rsidP="008549EF">
      <w:pPr>
        <w:spacing w:after="120" w:line="240" w:lineRule="auto"/>
        <w:rPr>
          <w:rFonts w:ascii="Tw Cen MT" w:hAnsi="Tw Cen MT" w:cs="Calibri"/>
          <w:sz w:val="24"/>
          <w:szCs w:val="24"/>
        </w:rPr>
      </w:pPr>
      <w:r w:rsidRPr="00EC3DBD">
        <w:rPr>
          <w:rFonts w:ascii="Tw Cen MT" w:hAnsi="Tw Cen MT" w:cs="Calibri"/>
          <w:sz w:val="24"/>
          <w:szCs w:val="24"/>
        </w:rPr>
        <w:t>Faycal Kessouri</w:t>
      </w:r>
      <w:r w:rsidRPr="00EC3DBD">
        <w:rPr>
          <w:rFonts w:ascii="Tw Cen MT" w:hAnsi="Tw Cen MT" w:cs="Calibri"/>
          <w:sz w:val="24"/>
          <w:szCs w:val="24"/>
        </w:rPr>
        <w:tab/>
        <w:t>UCLA/SCCWRP</w:t>
      </w:r>
    </w:p>
    <w:p w:rsidR="004B7FBF" w:rsidRPr="00EC3DBD" w:rsidRDefault="004B7FBF" w:rsidP="008549EF">
      <w:pPr>
        <w:spacing w:after="120" w:line="240" w:lineRule="auto"/>
        <w:rPr>
          <w:rFonts w:ascii="Tw Cen MT" w:hAnsi="Tw Cen MT" w:cs="Calibri"/>
          <w:sz w:val="24"/>
          <w:szCs w:val="24"/>
        </w:rPr>
      </w:pPr>
      <w:r w:rsidRPr="00EC3DBD">
        <w:rPr>
          <w:rFonts w:ascii="Tw Cen MT" w:hAnsi="Tw Cen MT" w:cs="Calibri"/>
          <w:sz w:val="24"/>
          <w:szCs w:val="24"/>
        </w:rPr>
        <w:t>Dick Feely</w:t>
      </w:r>
      <w:r w:rsidRPr="00EC3DBD">
        <w:rPr>
          <w:rFonts w:ascii="Tw Cen MT" w:hAnsi="Tw Cen MT" w:cs="Calibri"/>
          <w:sz w:val="24"/>
          <w:szCs w:val="24"/>
        </w:rPr>
        <w:tab/>
      </w:r>
      <w:r w:rsidRPr="00EC3DBD">
        <w:rPr>
          <w:rFonts w:ascii="Tw Cen MT" w:hAnsi="Tw Cen MT" w:cs="Calibri"/>
          <w:sz w:val="24"/>
          <w:szCs w:val="24"/>
        </w:rPr>
        <w:tab/>
        <w:t>NOAA PMEL</w:t>
      </w:r>
    </w:p>
    <w:p w:rsidR="004B7FBF" w:rsidRPr="00EC3DBD" w:rsidRDefault="004B7FBF" w:rsidP="008549EF">
      <w:pPr>
        <w:spacing w:after="120" w:line="240" w:lineRule="auto"/>
        <w:rPr>
          <w:rFonts w:ascii="Tw Cen MT" w:hAnsi="Tw Cen MT" w:cs="Calibri"/>
          <w:sz w:val="24"/>
          <w:szCs w:val="24"/>
        </w:rPr>
      </w:pPr>
      <w:r w:rsidRPr="00EC3DBD">
        <w:rPr>
          <w:rFonts w:ascii="Tw Cen MT" w:hAnsi="Tw Cen MT" w:cs="Calibri"/>
          <w:sz w:val="24"/>
          <w:szCs w:val="24"/>
        </w:rPr>
        <w:t>Nina Bednarsek</w:t>
      </w:r>
      <w:r w:rsidRPr="00EC3DBD">
        <w:rPr>
          <w:rFonts w:ascii="Tw Cen MT" w:hAnsi="Tw Cen MT" w:cs="Calibri"/>
          <w:sz w:val="24"/>
          <w:szCs w:val="24"/>
        </w:rPr>
        <w:tab/>
        <w:t>SCCWRP</w:t>
      </w:r>
    </w:p>
    <w:p w:rsidR="004B7FBF" w:rsidRPr="00EC3DBD" w:rsidRDefault="004B7FBF" w:rsidP="008549EF">
      <w:pPr>
        <w:spacing w:after="120" w:line="240" w:lineRule="auto"/>
        <w:rPr>
          <w:rFonts w:ascii="Tw Cen MT" w:hAnsi="Tw Cen MT" w:cs="Calibri"/>
          <w:sz w:val="24"/>
          <w:szCs w:val="24"/>
        </w:rPr>
      </w:pPr>
      <w:r w:rsidRPr="00EC3DBD">
        <w:rPr>
          <w:rFonts w:ascii="Tw Cen MT" w:hAnsi="Tw Cen MT" w:cs="Calibri"/>
          <w:sz w:val="24"/>
          <w:szCs w:val="24"/>
        </w:rPr>
        <w:t>Martha Sutula</w:t>
      </w:r>
      <w:r w:rsidRPr="00EC3DBD">
        <w:rPr>
          <w:rFonts w:ascii="Tw Cen MT" w:hAnsi="Tw Cen MT" w:cs="Calibri"/>
          <w:sz w:val="24"/>
          <w:szCs w:val="24"/>
        </w:rPr>
        <w:tab/>
      </w:r>
      <w:r w:rsidRPr="00EC3DBD">
        <w:rPr>
          <w:rFonts w:ascii="Tw Cen MT" w:hAnsi="Tw Cen MT" w:cs="Calibri"/>
          <w:sz w:val="24"/>
          <w:szCs w:val="24"/>
        </w:rPr>
        <w:tab/>
        <w:t>SCCWRP</w:t>
      </w:r>
    </w:p>
    <w:p w:rsidR="004B7FBF" w:rsidRPr="00EC3DBD" w:rsidRDefault="004B7FBF" w:rsidP="008549EF">
      <w:pPr>
        <w:spacing w:after="120" w:line="240" w:lineRule="auto"/>
        <w:rPr>
          <w:rFonts w:ascii="Tw Cen MT" w:hAnsi="Tw Cen MT" w:cs="Calibri"/>
          <w:sz w:val="24"/>
          <w:szCs w:val="24"/>
        </w:rPr>
      </w:pPr>
      <w:r w:rsidRPr="00EC3DBD">
        <w:rPr>
          <w:rFonts w:ascii="Tw Cen MT" w:hAnsi="Tw Cen MT" w:cs="Calibri"/>
          <w:sz w:val="24"/>
          <w:szCs w:val="24"/>
        </w:rPr>
        <w:t>Steve Weisberg</w:t>
      </w:r>
      <w:r w:rsidRPr="00EC3DBD">
        <w:rPr>
          <w:rFonts w:ascii="Tw Cen MT" w:hAnsi="Tw Cen MT" w:cs="Calibri"/>
          <w:sz w:val="24"/>
          <w:szCs w:val="24"/>
        </w:rPr>
        <w:tab/>
        <w:t>SCCWRP</w:t>
      </w:r>
    </w:p>
    <w:p w:rsidR="004B7FBF" w:rsidRDefault="00F235DD" w:rsidP="008549EF">
      <w:pPr>
        <w:spacing w:after="120" w:line="240" w:lineRule="auto"/>
        <w:rPr>
          <w:rFonts w:ascii="Tw Cen MT" w:hAnsi="Tw Cen MT" w:cs="Calibri"/>
          <w:sz w:val="24"/>
          <w:szCs w:val="24"/>
        </w:rPr>
      </w:pPr>
      <w:r>
        <w:rPr>
          <w:rFonts w:ascii="Tw Cen MT" w:hAnsi="Tw Cen MT" w:cs="Calibri"/>
          <w:sz w:val="24"/>
          <w:szCs w:val="24"/>
        </w:rPr>
        <w:t>Shelly Walther</w:t>
      </w:r>
      <w:r>
        <w:rPr>
          <w:rFonts w:ascii="Tw Cen MT" w:hAnsi="Tw Cen MT" w:cs="Calibri"/>
          <w:sz w:val="24"/>
          <w:szCs w:val="24"/>
        </w:rPr>
        <w:tab/>
      </w:r>
      <w:r>
        <w:rPr>
          <w:rFonts w:ascii="Tw Cen MT" w:hAnsi="Tw Cen MT" w:cs="Calibri"/>
          <w:sz w:val="24"/>
          <w:szCs w:val="24"/>
        </w:rPr>
        <w:tab/>
        <w:t>LACSD</w:t>
      </w:r>
    </w:p>
    <w:p w:rsidR="00F235DD" w:rsidRDefault="00F235DD" w:rsidP="008549EF">
      <w:pPr>
        <w:spacing w:after="120" w:line="240" w:lineRule="auto"/>
        <w:rPr>
          <w:rFonts w:ascii="Tw Cen MT" w:hAnsi="Tw Cen MT" w:cs="Calibri"/>
          <w:sz w:val="24"/>
          <w:szCs w:val="24"/>
        </w:rPr>
      </w:pPr>
      <w:r>
        <w:rPr>
          <w:rFonts w:ascii="Tw Cen MT" w:hAnsi="Tw Cen MT" w:cs="Calibri"/>
          <w:sz w:val="24"/>
          <w:szCs w:val="24"/>
        </w:rPr>
        <w:t xml:space="preserve">Alex Steele </w:t>
      </w:r>
      <w:r>
        <w:rPr>
          <w:rFonts w:ascii="Tw Cen MT" w:hAnsi="Tw Cen MT" w:cs="Calibri"/>
          <w:sz w:val="24"/>
          <w:szCs w:val="24"/>
        </w:rPr>
        <w:tab/>
      </w:r>
      <w:r>
        <w:rPr>
          <w:rFonts w:ascii="Tw Cen MT" w:hAnsi="Tw Cen MT" w:cs="Calibri"/>
          <w:sz w:val="24"/>
          <w:szCs w:val="24"/>
        </w:rPr>
        <w:tab/>
        <w:t>LACSD</w:t>
      </w:r>
    </w:p>
    <w:p w:rsidR="00F235DD" w:rsidRDefault="00F235DD" w:rsidP="008549EF">
      <w:pPr>
        <w:spacing w:after="120" w:line="240" w:lineRule="auto"/>
        <w:rPr>
          <w:rFonts w:ascii="Tw Cen MT" w:hAnsi="Tw Cen MT" w:cs="Calibri"/>
          <w:sz w:val="24"/>
          <w:szCs w:val="24"/>
        </w:rPr>
      </w:pPr>
      <w:r>
        <w:rPr>
          <w:rFonts w:ascii="Tw Cen MT" w:hAnsi="Tw Cen MT" w:cs="Calibri"/>
          <w:sz w:val="24"/>
          <w:szCs w:val="24"/>
        </w:rPr>
        <w:t>Evan Howard</w:t>
      </w:r>
      <w:r>
        <w:rPr>
          <w:rFonts w:ascii="Tw Cen MT" w:hAnsi="Tw Cen MT" w:cs="Calibri"/>
          <w:sz w:val="24"/>
          <w:szCs w:val="24"/>
        </w:rPr>
        <w:tab/>
      </w:r>
      <w:r>
        <w:rPr>
          <w:rFonts w:ascii="Tw Cen MT" w:hAnsi="Tw Cen MT" w:cs="Calibri"/>
          <w:sz w:val="24"/>
          <w:szCs w:val="24"/>
        </w:rPr>
        <w:tab/>
        <w:t>Univ. of Washington</w:t>
      </w:r>
    </w:p>
    <w:p w:rsidR="00F235DD" w:rsidRPr="00F235DD" w:rsidRDefault="00F235DD" w:rsidP="008549EF">
      <w:pPr>
        <w:spacing w:after="120" w:line="240" w:lineRule="auto"/>
        <w:rPr>
          <w:rFonts w:ascii="Tw Cen MT" w:hAnsi="Tw Cen MT" w:cs="Calibri"/>
          <w:sz w:val="24"/>
          <w:szCs w:val="24"/>
        </w:rPr>
        <w:sectPr w:rsidR="00F235DD" w:rsidRPr="00F235DD" w:rsidSect="004B7FBF">
          <w:type w:val="continuous"/>
          <w:pgSz w:w="12240" w:h="15840"/>
          <w:pgMar w:top="1440" w:right="1440" w:bottom="1440" w:left="1440" w:header="720" w:footer="720" w:gutter="0"/>
          <w:cols w:num="2" w:space="720"/>
          <w:docGrid w:linePitch="360"/>
        </w:sectPr>
      </w:pPr>
      <w:r>
        <w:rPr>
          <w:rFonts w:ascii="Tw Cen MT" w:hAnsi="Tw Cen MT" w:cs="Calibri"/>
          <w:sz w:val="24"/>
          <w:szCs w:val="24"/>
        </w:rPr>
        <w:t xml:space="preserve">Karen </w:t>
      </w:r>
      <w:r w:rsidR="00573633">
        <w:rPr>
          <w:rFonts w:ascii="Tw Cen MT" w:hAnsi="Tw Cen MT" w:cs="Calibri"/>
          <w:sz w:val="24"/>
          <w:szCs w:val="24"/>
        </w:rPr>
        <w:t>McLaughlin</w:t>
      </w:r>
      <w:r>
        <w:rPr>
          <w:rFonts w:ascii="Tw Cen MT" w:hAnsi="Tw Cen MT" w:cs="Calibri"/>
          <w:sz w:val="24"/>
          <w:szCs w:val="24"/>
        </w:rPr>
        <w:tab/>
        <w:t>SCCWRP</w:t>
      </w:r>
    </w:p>
    <w:p w:rsidR="00822493" w:rsidRPr="00EC3DBD" w:rsidRDefault="00822493" w:rsidP="008549EF">
      <w:pPr>
        <w:spacing w:after="120" w:line="240" w:lineRule="auto"/>
        <w:rPr>
          <w:rFonts w:ascii="Tw Cen MT" w:hAnsi="Tw Cen MT" w:cs="Calibri"/>
          <w:b/>
          <w:sz w:val="24"/>
          <w:szCs w:val="24"/>
          <w:u w:val="single"/>
        </w:rPr>
      </w:pPr>
    </w:p>
    <w:p w:rsidR="00EF417E" w:rsidRPr="00EC3DBD" w:rsidRDefault="004B7FBF" w:rsidP="00B378DC">
      <w:pPr>
        <w:pStyle w:val="Default"/>
        <w:spacing w:after="120"/>
        <w:jc w:val="center"/>
        <w:outlineLvl w:val="0"/>
        <w:rPr>
          <w:rFonts w:ascii="Tw Cen MT" w:hAnsi="Tw Cen MT" w:cs="Calibri"/>
          <w:b/>
          <w:u w:val="single"/>
        </w:rPr>
      </w:pPr>
      <w:r w:rsidRPr="00EC3DBD">
        <w:rPr>
          <w:rFonts w:ascii="Tw Cen MT" w:hAnsi="Tw Cen MT" w:cs="Calibri"/>
          <w:b/>
          <w:u w:val="single"/>
        </w:rPr>
        <w:t>Meeting Summary and Action Items</w:t>
      </w:r>
    </w:p>
    <w:p w:rsidR="00420D3A" w:rsidRPr="00EC3DBD" w:rsidRDefault="00420D3A" w:rsidP="008549EF">
      <w:pPr>
        <w:pStyle w:val="Default"/>
        <w:spacing w:after="120"/>
        <w:rPr>
          <w:rFonts w:ascii="Tw Cen MT" w:hAnsi="Tw Cen MT" w:cs="Calibri"/>
        </w:rPr>
      </w:pPr>
    </w:p>
    <w:p w:rsidR="002936D7" w:rsidRPr="002936D7" w:rsidRDefault="002936D7" w:rsidP="008549EF">
      <w:pPr>
        <w:pStyle w:val="Default"/>
        <w:spacing w:after="120"/>
        <w:rPr>
          <w:rFonts w:ascii="Tw Cen MT" w:hAnsi="Tw Cen MT" w:cs="Calibri"/>
        </w:rPr>
      </w:pPr>
      <w:r w:rsidRPr="002936D7">
        <w:rPr>
          <w:rFonts w:ascii="Tw Cen MT" w:hAnsi="Tw Cen MT" w:cs="Calibri"/>
        </w:rPr>
        <w:t>The meeting was open with introductions and a brief background on the modeling project. A key conceptual slide was presented to show the project work flo</w:t>
      </w:r>
      <w:r>
        <w:rPr>
          <w:rFonts w:ascii="Tw Cen MT" w:hAnsi="Tw Cen MT" w:cs="Calibri"/>
        </w:rPr>
        <w:t>w, which also serves a road map for the day’s presentations and discussion (see below and attached slides on Meeting Intro Presentation)</w:t>
      </w:r>
      <w:r w:rsidRPr="002936D7">
        <w:rPr>
          <w:rFonts w:ascii="Tw Cen MT" w:hAnsi="Tw Cen MT" w:cs="Calibri"/>
        </w:rPr>
        <w:t xml:space="preserve">. </w:t>
      </w:r>
      <w:r w:rsidR="004A476F">
        <w:rPr>
          <w:rFonts w:ascii="Tw Cen MT" w:hAnsi="Tw Cen MT" w:cs="Calibri"/>
        </w:rPr>
        <w:t xml:space="preserve"> </w:t>
      </w:r>
    </w:p>
    <w:p w:rsidR="002936D7" w:rsidRDefault="002936D7" w:rsidP="008549EF">
      <w:pPr>
        <w:pStyle w:val="Default"/>
        <w:spacing w:after="120"/>
        <w:ind w:left="720" w:hanging="720"/>
        <w:rPr>
          <w:rFonts w:ascii="Tw Cen MT" w:hAnsi="Tw Cen MT" w:cs="Calibri"/>
          <w:b/>
        </w:rPr>
      </w:pPr>
    </w:p>
    <w:p w:rsidR="002936D7" w:rsidRDefault="004A476F" w:rsidP="008549EF">
      <w:pPr>
        <w:pStyle w:val="Default"/>
        <w:spacing w:after="120"/>
        <w:ind w:left="720" w:hanging="720"/>
        <w:rPr>
          <w:rFonts w:ascii="Tw Cen MT" w:hAnsi="Tw Cen MT" w:cs="Calibri"/>
          <w:b/>
        </w:rPr>
      </w:pPr>
      <w:r w:rsidRPr="004A476F">
        <w:rPr>
          <w:rFonts w:ascii="Tw Cen MT" w:hAnsi="Tw Cen MT" w:cs="Calibri"/>
          <w:b/>
          <w:noProof/>
        </w:rPr>
        <w:drawing>
          <wp:inline distT="0" distB="0" distL="0" distR="0">
            <wp:extent cx="4933064" cy="3448050"/>
            <wp:effectExtent l="19050" t="19050" r="2032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9723" cy="3466684"/>
                    </a:xfrm>
                    <a:prstGeom prst="rect">
                      <a:avLst/>
                    </a:prstGeom>
                    <a:noFill/>
                    <a:ln w="22225">
                      <a:solidFill>
                        <a:schemeClr val="accent1"/>
                      </a:solidFill>
                    </a:ln>
                  </pic:spPr>
                </pic:pic>
              </a:graphicData>
            </a:graphic>
          </wp:inline>
        </w:drawing>
      </w:r>
    </w:p>
    <w:p w:rsidR="002936D7" w:rsidRDefault="004A476F" w:rsidP="004A476F">
      <w:pPr>
        <w:pStyle w:val="Default"/>
        <w:spacing w:after="120"/>
        <w:rPr>
          <w:rFonts w:ascii="Tw Cen MT" w:hAnsi="Tw Cen MT" w:cs="Calibri"/>
          <w:b/>
        </w:rPr>
      </w:pPr>
      <w:r>
        <w:rPr>
          <w:rFonts w:ascii="Tw Cen MT" w:hAnsi="Tw Cen MT" w:cs="Calibri"/>
        </w:rPr>
        <w:t xml:space="preserve">Martha Sutula also discussed a key concept that frames the discussions during the day: focused validation and pollution impact assessment will be conducted in stages, with the first stage of pollution impact assessment helping to clarify the temporal and spatial scales in which the model needs to perform (focused validation). During that first stage, </w:t>
      </w:r>
      <w:r w:rsidR="00274BE2">
        <w:rPr>
          <w:rFonts w:ascii="Tw Cen MT" w:hAnsi="Tw Cen MT" w:cs="Calibri"/>
        </w:rPr>
        <w:t>the team</w:t>
      </w:r>
      <w:r>
        <w:rPr>
          <w:rFonts w:ascii="Tw Cen MT" w:hAnsi="Tw Cen MT" w:cs="Calibri"/>
        </w:rPr>
        <w:t xml:space="preserve"> would identify by </w:t>
      </w:r>
      <w:r w:rsidR="00573633">
        <w:rPr>
          <w:rFonts w:ascii="Tw Cen MT" w:hAnsi="Tw Cen MT" w:cs="Calibri"/>
        </w:rPr>
        <w:t>sub region</w:t>
      </w:r>
      <w:r>
        <w:rPr>
          <w:rFonts w:ascii="Tw Cen MT" w:hAnsi="Tw Cen MT" w:cs="Calibri"/>
        </w:rPr>
        <w:t xml:space="preserve"> where pollution effect &gt; model uncertainty. In the second stage, </w:t>
      </w:r>
      <w:r w:rsidR="00274BE2">
        <w:rPr>
          <w:rFonts w:ascii="Tw Cen MT" w:hAnsi="Tw Cen MT" w:cs="Calibri"/>
        </w:rPr>
        <w:t>the team</w:t>
      </w:r>
      <w:r>
        <w:rPr>
          <w:rFonts w:ascii="Tw Cen MT" w:hAnsi="Tw Cen MT" w:cs="Calibri"/>
        </w:rPr>
        <w:t xml:space="preserve"> would conduct a refined validation on those subregions, with a clearer picture of quantitative performance criteria</w:t>
      </w:r>
      <w:r w:rsidR="00274BE2">
        <w:rPr>
          <w:rFonts w:ascii="Tw Cen MT" w:hAnsi="Tw Cen MT" w:cs="Calibri"/>
        </w:rPr>
        <w:t xml:space="preserve">. At that stage, if pollution effect &gt; model uncertainty, then the team would proceed to subsequent iterations of the pollution impact assessment, source attribution, pollution management scenario analyses, without and without climate change. </w:t>
      </w:r>
    </w:p>
    <w:p w:rsidR="004A476F" w:rsidRDefault="004A476F" w:rsidP="008549EF">
      <w:pPr>
        <w:spacing w:after="120" w:line="240" w:lineRule="auto"/>
        <w:rPr>
          <w:rFonts w:ascii="Tw Cen MT" w:eastAsiaTheme="minorEastAsia" w:hAnsi="Tw Cen MT" w:cs="Calibri"/>
          <w:b/>
          <w:color w:val="000000"/>
          <w:sz w:val="24"/>
          <w:szCs w:val="24"/>
        </w:rPr>
      </w:pPr>
      <w:r w:rsidRPr="004A476F">
        <w:rPr>
          <w:noProof/>
        </w:rPr>
        <w:drawing>
          <wp:inline distT="0" distB="0" distL="0" distR="0" wp14:anchorId="5787D265" wp14:editId="47B195DC">
            <wp:extent cx="4838700" cy="2729523"/>
            <wp:effectExtent l="19050" t="19050" r="1905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619"/>
                    <a:stretch/>
                  </pic:blipFill>
                  <pic:spPr bwMode="auto">
                    <a:xfrm>
                      <a:off x="0" y="0"/>
                      <a:ext cx="4866735" cy="2745338"/>
                    </a:xfrm>
                    <a:prstGeom prst="rect">
                      <a:avLst/>
                    </a:prstGeom>
                    <a:ln w="19050">
                      <a:solidFill>
                        <a:schemeClr val="accent1"/>
                      </a:solidFill>
                    </a:ln>
                    <a:extLst>
                      <a:ext uri="{53640926-AAD7-44D8-BBD7-CCE9431645EC}">
                        <a14:shadowObscured xmlns:a14="http://schemas.microsoft.com/office/drawing/2010/main"/>
                      </a:ext>
                    </a:extLst>
                  </pic:spPr>
                </pic:pic>
              </a:graphicData>
            </a:graphic>
          </wp:inline>
        </w:drawing>
      </w:r>
    </w:p>
    <w:p w:rsidR="004A476F" w:rsidRDefault="004A476F" w:rsidP="008549EF">
      <w:pPr>
        <w:spacing w:after="120" w:line="240" w:lineRule="auto"/>
        <w:rPr>
          <w:rFonts w:ascii="Tw Cen MT" w:eastAsiaTheme="minorEastAsia" w:hAnsi="Tw Cen MT" w:cs="Calibri"/>
          <w:b/>
          <w:color w:val="000000"/>
          <w:sz w:val="24"/>
          <w:szCs w:val="24"/>
        </w:rPr>
      </w:pPr>
    </w:p>
    <w:p w:rsidR="004A476F" w:rsidRDefault="004A476F" w:rsidP="008549EF">
      <w:pPr>
        <w:spacing w:after="120" w:line="240" w:lineRule="auto"/>
        <w:rPr>
          <w:rFonts w:ascii="Tw Cen MT" w:eastAsiaTheme="minorEastAsia" w:hAnsi="Tw Cen MT" w:cs="Calibri"/>
          <w:b/>
          <w:color w:val="000000"/>
          <w:sz w:val="24"/>
          <w:szCs w:val="24"/>
        </w:rPr>
      </w:pPr>
    </w:p>
    <w:p w:rsidR="00D04A5A" w:rsidRPr="00EC3DBD" w:rsidRDefault="00D1025A" w:rsidP="00B378DC">
      <w:pPr>
        <w:pStyle w:val="Default"/>
        <w:spacing w:after="120"/>
        <w:ind w:left="720" w:hanging="720"/>
        <w:outlineLvl w:val="0"/>
        <w:rPr>
          <w:rFonts w:ascii="Tw Cen MT" w:hAnsi="Tw Cen MT" w:cs="Calibri"/>
          <w:b/>
        </w:rPr>
      </w:pPr>
      <w:r w:rsidRPr="00EC3DBD">
        <w:rPr>
          <w:rFonts w:ascii="Tw Cen MT" w:hAnsi="Tw Cen MT" w:cs="Calibri"/>
          <w:b/>
        </w:rPr>
        <w:t>S</w:t>
      </w:r>
      <w:r w:rsidR="00D04A5A" w:rsidRPr="00EC3DBD">
        <w:rPr>
          <w:rFonts w:ascii="Tw Cen MT" w:hAnsi="Tw Cen MT" w:cs="Calibri"/>
          <w:b/>
        </w:rPr>
        <w:t xml:space="preserve">ummary of </w:t>
      </w:r>
      <w:r w:rsidR="00F235DD">
        <w:rPr>
          <w:rFonts w:ascii="Tw Cen MT" w:hAnsi="Tw Cen MT" w:cs="Calibri"/>
          <w:b/>
        </w:rPr>
        <w:t>modeling progress</w:t>
      </w:r>
    </w:p>
    <w:p w:rsidR="00EC3DBD" w:rsidRPr="00F235DD" w:rsidRDefault="00F235DD" w:rsidP="00C56B2D">
      <w:pPr>
        <w:pStyle w:val="Default"/>
        <w:numPr>
          <w:ilvl w:val="0"/>
          <w:numId w:val="7"/>
        </w:numPr>
        <w:spacing w:after="120"/>
        <w:rPr>
          <w:rFonts w:ascii="Tw Cen MT" w:hAnsi="Tw Cen MT" w:cs="Calibri"/>
        </w:rPr>
      </w:pPr>
      <w:r w:rsidRPr="00F235DD">
        <w:rPr>
          <w:rFonts w:ascii="Tw Cen MT" w:hAnsi="Tw Cen MT" w:cs="Calibri"/>
        </w:rPr>
        <w:t xml:space="preserve">Faycal Kessouri, on behalf of the UCLA and UW modeling team, </w:t>
      </w:r>
      <w:r w:rsidR="00EC3DBD" w:rsidRPr="00F235DD">
        <w:rPr>
          <w:rFonts w:ascii="Tw Cen MT" w:hAnsi="Tw Cen MT" w:cs="Calibri"/>
        </w:rPr>
        <w:t>presented the background and context for the ROMS-BEC modeling project, the component steps to develop, refine and validate the model, before applying the model to its intended management applications</w:t>
      </w:r>
      <w:r w:rsidR="007A2213">
        <w:rPr>
          <w:rFonts w:ascii="Tw Cen MT" w:hAnsi="Tw Cen MT" w:cs="Calibri"/>
        </w:rPr>
        <w:t xml:space="preserve"> (slide 21 of AM presentations)</w:t>
      </w:r>
      <w:r w:rsidR="00EC3DBD" w:rsidRPr="00F235DD">
        <w:rPr>
          <w:rFonts w:ascii="Tw Cen MT" w:hAnsi="Tw Cen MT" w:cs="Calibri"/>
        </w:rPr>
        <w:t xml:space="preserve">. </w:t>
      </w:r>
    </w:p>
    <w:p w:rsidR="005252E5" w:rsidRDefault="00EC3DBD" w:rsidP="008549EF">
      <w:pPr>
        <w:pStyle w:val="ListParagraph"/>
        <w:numPr>
          <w:ilvl w:val="0"/>
          <w:numId w:val="7"/>
        </w:numPr>
        <w:spacing w:after="120" w:line="240" w:lineRule="auto"/>
        <w:contextualSpacing w:val="0"/>
        <w:rPr>
          <w:rFonts w:ascii="Tw Cen MT" w:hAnsi="Tw Cen MT" w:cs="Calibri"/>
          <w:sz w:val="24"/>
          <w:szCs w:val="24"/>
        </w:rPr>
      </w:pPr>
      <w:r>
        <w:rPr>
          <w:rFonts w:ascii="Tw Cen MT" w:hAnsi="Tw Cen MT" w:cs="Calibri"/>
          <w:sz w:val="24"/>
          <w:szCs w:val="24"/>
        </w:rPr>
        <w:t xml:space="preserve">One core message is that the team is approximately </w:t>
      </w:r>
      <w:r w:rsidR="00274BE2">
        <w:rPr>
          <w:rFonts w:ascii="Tw Cen MT" w:hAnsi="Tw Cen MT" w:cs="Calibri"/>
          <w:sz w:val="24"/>
          <w:szCs w:val="24"/>
        </w:rPr>
        <w:t>80</w:t>
      </w:r>
      <w:r>
        <w:rPr>
          <w:rFonts w:ascii="Tw Cen MT" w:hAnsi="Tw Cen MT" w:cs="Calibri"/>
          <w:sz w:val="24"/>
          <w:szCs w:val="24"/>
        </w:rPr>
        <w:t xml:space="preserve">% through the </w:t>
      </w:r>
      <w:r w:rsidR="005252E5">
        <w:rPr>
          <w:rFonts w:ascii="Tw Cen MT" w:hAnsi="Tw Cen MT" w:cs="Calibri"/>
          <w:sz w:val="24"/>
          <w:szCs w:val="24"/>
        </w:rPr>
        <w:t xml:space="preserve">initial </w:t>
      </w:r>
      <w:r w:rsidR="00274BE2">
        <w:rPr>
          <w:rFonts w:ascii="Tw Cen MT" w:hAnsi="Tw Cen MT" w:cs="Calibri"/>
          <w:sz w:val="24"/>
          <w:szCs w:val="24"/>
        </w:rPr>
        <w:t xml:space="preserve">NOAA </w:t>
      </w:r>
      <w:r>
        <w:rPr>
          <w:rFonts w:ascii="Tw Cen MT" w:hAnsi="Tw Cen MT" w:cs="Calibri"/>
          <w:sz w:val="24"/>
          <w:szCs w:val="24"/>
        </w:rPr>
        <w:t>work plan, with the completion of coastwide validation, downscaling of the model to 1 km</w:t>
      </w:r>
      <w:r w:rsidR="00DA6BDD">
        <w:rPr>
          <w:rFonts w:ascii="Tw Cen MT" w:hAnsi="Tw Cen MT" w:cs="Calibri"/>
          <w:sz w:val="24"/>
          <w:szCs w:val="24"/>
        </w:rPr>
        <w:t xml:space="preserve"> and inclusion of compiled terrestrial and atmospheric forcing to the model. S</w:t>
      </w:r>
      <w:r w:rsidR="005252E5">
        <w:rPr>
          <w:rFonts w:ascii="Tw Cen MT" w:hAnsi="Tw Cen MT" w:cs="Calibri"/>
          <w:sz w:val="24"/>
          <w:szCs w:val="24"/>
        </w:rPr>
        <w:t>ubsequent investigations of model resolution (4 km-versus 1 km) on the representation of submesoscale processes (e.g. eddies) and its implications for nutrient transport led the group to decide that pollution impact assessments should be conducted on simulations run with a 300-m resolution</w:t>
      </w:r>
      <w:r w:rsidR="00DA6BDD">
        <w:rPr>
          <w:rFonts w:ascii="Tw Cen MT" w:hAnsi="Tw Cen MT" w:cs="Calibri"/>
          <w:sz w:val="24"/>
          <w:szCs w:val="24"/>
        </w:rPr>
        <w:t xml:space="preserve"> (See presentation on modeling progress for explanation)</w:t>
      </w:r>
      <w:r w:rsidR="005252E5">
        <w:rPr>
          <w:rFonts w:ascii="Tw Cen MT" w:hAnsi="Tw Cen MT" w:cs="Calibri"/>
          <w:sz w:val="24"/>
          <w:szCs w:val="24"/>
        </w:rPr>
        <w:t xml:space="preserve">. Model grids have been developed for SCB and the San Francisco and Monterey Coasts. Terrestrial and atmospheric forcing, which includes anthropogenic nutrient inputs, have been added to the model. After an initial set of tests to optimize time step, the group has started to run the initial set of model scenarios (1997-2007, with and without terrestrial and atmospheric forcing). These runs will take ~4 months to complete (end of September 2018). </w:t>
      </w:r>
    </w:p>
    <w:p w:rsidR="00EC3DBD" w:rsidRDefault="005252E5" w:rsidP="008549EF">
      <w:pPr>
        <w:pStyle w:val="ListParagraph"/>
        <w:numPr>
          <w:ilvl w:val="0"/>
          <w:numId w:val="7"/>
        </w:numPr>
        <w:spacing w:after="120" w:line="240" w:lineRule="auto"/>
        <w:contextualSpacing w:val="0"/>
        <w:rPr>
          <w:rFonts w:ascii="Tw Cen MT" w:hAnsi="Tw Cen MT" w:cs="Calibri"/>
          <w:sz w:val="24"/>
          <w:szCs w:val="24"/>
        </w:rPr>
      </w:pPr>
      <w:r>
        <w:rPr>
          <w:rFonts w:ascii="Tw Cen MT" w:hAnsi="Tw Cen MT" w:cs="Calibri"/>
          <w:sz w:val="24"/>
          <w:szCs w:val="24"/>
        </w:rPr>
        <w:t xml:space="preserve">The group is working to get the atmospheric forcing complete before preparing second set of runs that will extend the hindcast from 2007-2015. A comparable set of model runs will be conducted for the SF and Monterey Coasts (300-m resolution) beginning in the springtime. </w:t>
      </w:r>
    </w:p>
    <w:p w:rsidR="009C51DD" w:rsidRPr="00EC3DBD" w:rsidRDefault="00EC3DBD" w:rsidP="008549EF">
      <w:pPr>
        <w:pStyle w:val="ListParagraph"/>
        <w:numPr>
          <w:ilvl w:val="0"/>
          <w:numId w:val="7"/>
        </w:numPr>
        <w:spacing w:after="120" w:line="240" w:lineRule="auto"/>
        <w:contextualSpacing w:val="0"/>
        <w:rPr>
          <w:rFonts w:ascii="Tw Cen MT" w:hAnsi="Tw Cen MT" w:cs="Calibri"/>
          <w:sz w:val="24"/>
          <w:szCs w:val="24"/>
        </w:rPr>
      </w:pPr>
      <w:r>
        <w:rPr>
          <w:rFonts w:ascii="Tw Cen MT" w:hAnsi="Tw Cen MT" w:cs="Calibri"/>
          <w:sz w:val="24"/>
          <w:szCs w:val="24"/>
        </w:rPr>
        <w:t xml:space="preserve">In the next 6-9 months, the team will be focused on </w:t>
      </w:r>
      <w:r w:rsidR="00274BE2">
        <w:rPr>
          <w:rFonts w:ascii="Tw Cen MT" w:hAnsi="Tw Cen MT" w:cs="Calibri"/>
          <w:sz w:val="24"/>
          <w:szCs w:val="24"/>
        </w:rPr>
        <w:t>1)</w:t>
      </w:r>
      <w:r>
        <w:rPr>
          <w:rFonts w:ascii="Tw Cen MT" w:hAnsi="Tw Cen MT" w:cs="Calibri"/>
          <w:sz w:val="24"/>
          <w:szCs w:val="24"/>
        </w:rPr>
        <w:t xml:space="preserve"> </w:t>
      </w:r>
      <w:r w:rsidR="00274BE2">
        <w:rPr>
          <w:rFonts w:ascii="Tw Cen MT" w:hAnsi="Tw Cen MT" w:cs="Calibri"/>
          <w:sz w:val="24"/>
          <w:szCs w:val="24"/>
        </w:rPr>
        <w:t xml:space="preserve">SCB focused validation and pollution impact assessment, 2) </w:t>
      </w:r>
      <w:r w:rsidR="005006E5">
        <w:rPr>
          <w:rFonts w:ascii="Tw Cen MT" w:hAnsi="Tw Cen MT" w:cs="Calibri"/>
          <w:sz w:val="24"/>
          <w:szCs w:val="24"/>
        </w:rPr>
        <w:t xml:space="preserve">updating 300-m runs simulations through 2015 in the SCB and SF/Monterey Coasts, 3) </w:t>
      </w:r>
      <w:r>
        <w:rPr>
          <w:rFonts w:ascii="Tw Cen MT" w:hAnsi="Tw Cen MT" w:cs="Calibri"/>
          <w:sz w:val="24"/>
          <w:szCs w:val="24"/>
        </w:rPr>
        <w:t>alternative future scenarios</w:t>
      </w:r>
      <w:r w:rsidR="005006E5">
        <w:rPr>
          <w:rFonts w:ascii="Tw Cen MT" w:hAnsi="Tw Cen MT" w:cs="Calibri"/>
          <w:sz w:val="24"/>
          <w:szCs w:val="24"/>
        </w:rPr>
        <w:t xml:space="preserve">, 4) </w:t>
      </w:r>
      <w:r>
        <w:rPr>
          <w:rFonts w:ascii="Tw Cen MT" w:hAnsi="Tw Cen MT" w:cs="Calibri"/>
          <w:sz w:val="24"/>
          <w:szCs w:val="24"/>
        </w:rPr>
        <w:t>adding a rudimentary food web model</w:t>
      </w:r>
      <w:r w:rsidR="00E115AC">
        <w:rPr>
          <w:rFonts w:ascii="Tw Cen MT" w:hAnsi="Tw Cen MT" w:cs="Calibri"/>
          <w:sz w:val="24"/>
          <w:szCs w:val="24"/>
        </w:rPr>
        <w:t xml:space="preserve"> and ecosystem model of rocky subtidal</w:t>
      </w:r>
      <w:r>
        <w:rPr>
          <w:rFonts w:ascii="Tw Cen MT" w:hAnsi="Tw Cen MT" w:cs="Calibri"/>
          <w:sz w:val="24"/>
          <w:szCs w:val="24"/>
        </w:rPr>
        <w:t xml:space="preserve">. </w:t>
      </w:r>
      <w:r w:rsidR="00274BE2">
        <w:rPr>
          <w:rFonts w:ascii="Tw Cen MT" w:hAnsi="Tw Cen MT" w:cs="Calibri"/>
          <w:sz w:val="24"/>
          <w:szCs w:val="24"/>
        </w:rPr>
        <w:t>Faycal</w:t>
      </w:r>
      <w:r>
        <w:rPr>
          <w:rFonts w:ascii="Tw Cen MT" w:hAnsi="Tw Cen MT" w:cs="Calibri"/>
          <w:sz w:val="24"/>
          <w:szCs w:val="24"/>
        </w:rPr>
        <w:t xml:space="preserve"> noted that in real practice, this is an iterative cycle of model refinement, ongoing validation and application. </w:t>
      </w:r>
    </w:p>
    <w:p w:rsidR="00DA6BDD" w:rsidRDefault="004F2B0F" w:rsidP="008549EF">
      <w:pPr>
        <w:pStyle w:val="ListParagraph"/>
        <w:numPr>
          <w:ilvl w:val="0"/>
          <w:numId w:val="7"/>
        </w:numPr>
        <w:spacing w:after="120" w:line="240" w:lineRule="auto"/>
        <w:contextualSpacing w:val="0"/>
        <w:rPr>
          <w:rFonts w:ascii="Tw Cen MT" w:hAnsi="Tw Cen MT" w:cs="Calibri"/>
          <w:sz w:val="24"/>
          <w:szCs w:val="24"/>
        </w:rPr>
      </w:pPr>
      <w:r>
        <w:rPr>
          <w:rFonts w:ascii="Tw Cen MT" w:hAnsi="Tw Cen MT" w:cs="Calibri"/>
          <w:sz w:val="24"/>
          <w:szCs w:val="24"/>
        </w:rPr>
        <w:t xml:space="preserve">Question and answers ensued, focusing </w:t>
      </w:r>
    </w:p>
    <w:p w:rsidR="00126942" w:rsidRDefault="00DA6BDD" w:rsidP="00DA6BDD">
      <w:pPr>
        <w:pStyle w:val="ListParagraph"/>
        <w:numPr>
          <w:ilvl w:val="1"/>
          <w:numId w:val="7"/>
        </w:numPr>
        <w:spacing w:after="120" w:line="240" w:lineRule="auto"/>
        <w:contextualSpacing w:val="0"/>
        <w:rPr>
          <w:rFonts w:ascii="Tw Cen MT" w:hAnsi="Tw Cen MT" w:cs="Calibri"/>
          <w:sz w:val="24"/>
          <w:szCs w:val="24"/>
        </w:rPr>
      </w:pPr>
      <w:r>
        <w:rPr>
          <w:rFonts w:ascii="Tw Cen MT" w:hAnsi="Tw Cen MT" w:cs="Calibri"/>
          <w:sz w:val="24"/>
          <w:szCs w:val="24"/>
        </w:rPr>
        <w:t>Discussion of the fact that this is the first 300-m resolution ocean modeling simulation of physics and biogeochemistry</w:t>
      </w:r>
      <w:r w:rsidR="00126942">
        <w:rPr>
          <w:rFonts w:ascii="Tw Cen MT" w:hAnsi="Tw Cen MT" w:cs="Calibri"/>
          <w:sz w:val="24"/>
          <w:szCs w:val="24"/>
        </w:rPr>
        <w:t>—the group was enthusiastic!</w:t>
      </w:r>
      <w:r w:rsidR="000C3651">
        <w:rPr>
          <w:rFonts w:ascii="Tw Cen MT" w:hAnsi="Tw Cen MT" w:cs="Calibri"/>
          <w:sz w:val="24"/>
          <w:szCs w:val="24"/>
        </w:rPr>
        <w:t xml:space="preserve"> These modeling runs will be an enormous research asset to the scientific community for the next decade. </w:t>
      </w:r>
    </w:p>
    <w:p w:rsidR="00132FB0" w:rsidRDefault="00126942" w:rsidP="00DA6BDD">
      <w:pPr>
        <w:pStyle w:val="ListParagraph"/>
        <w:numPr>
          <w:ilvl w:val="1"/>
          <w:numId w:val="7"/>
        </w:numPr>
        <w:spacing w:after="120" w:line="240" w:lineRule="auto"/>
        <w:contextualSpacing w:val="0"/>
        <w:rPr>
          <w:rFonts w:ascii="Tw Cen MT" w:hAnsi="Tw Cen MT" w:cs="Calibri"/>
          <w:sz w:val="24"/>
          <w:szCs w:val="24"/>
        </w:rPr>
      </w:pPr>
      <w:r>
        <w:rPr>
          <w:rFonts w:ascii="Tw Cen MT" w:hAnsi="Tw Cen MT" w:cs="Calibri"/>
          <w:sz w:val="24"/>
          <w:szCs w:val="24"/>
        </w:rPr>
        <w:t>H</w:t>
      </w:r>
      <w:r w:rsidR="00DA6BDD">
        <w:rPr>
          <w:rFonts w:ascii="Tw Cen MT" w:hAnsi="Tw Cen MT" w:cs="Calibri"/>
          <w:sz w:val="24"/>
          <w:szCs w:val="24"/>
        </w:rPr>
        <w:t xml:space="preserve">ow did the modeling team decide what was the appropriate resolution for pollution impact </w:t>
      </w:r>
      <w:r w:rsidR="00573633">
        <w:rPr>
          <w:rFonts w:ascii="Tw Cen MT" w:hAnsi="Tw Cen MT" w:cs="Calibri"/>
          <w:sz w:val="24"/>
          <w:szCs w:val="24"/>
        </w:rPr>
        <w:t>runs?</w:t>
      </w:r>
      <w:r w:rsidR="00DA6BDD">
        <w:rPr>
          <w:rFonts w:ascii="Tw Cen MT" w:hAnsi="Tw Cen MT" w:cs="Calibri"/>
          <w:sz w:val="24"/>
          <w:szCs w:val="24"/>
        </w:rPr>
        <w:t xml:space="preserve"> Discussion ensued about the sensitivity analyses of model resolution versus what coastal transport process are captured. Meeting participants requested that the modeling team (McWilliams et al.) provide a rationale for how they would approach subsequent model runs for focused pollution impact assessment (what scale would be considered? How would they decide that? Does it make sense to include a 1 km with atmospheric and terrestrial forcing, even for one year, to make the scale comparison). Martha Sutula agreed that Faycal and Daniele would bring the conversation back to the modeling team, and would report back with the team’s perspective on the approach. </w:t>
      </w:r>
    </w:p>
    <w:p w:rsidR="00126942" w:rsidRDefault="00126942" w:rsidP="00DA6BDD">
      <w:pPr>
        <w:pStyle w:val="ListParagraph"/>
        <w:numPr>
          <w:ilvl w:val="1"/>
          <w:numId w:val="7"/>
        </w:numPr>
        <w:spacing w:after="120" w:line="240" w:lineRule="auto"/>
        <w:contextualSpacing w:val="0"/>
        <w:rPr>
          <w:rFonts w:ascii="Tw Cen MT" w:hAnsi="Tw Cen MT" w:cs="Calibri"/>
          <w:sz w:val="24"/>
          <w:szCs w:val="24"/>
        </w:rPr>
      </w:pPr>
      <w:r>
        <w:rPr>
          <w:rFonts w:ascii="Tw Cen MT" w:hAnsi="Tw Cen MT" w:cs="Calibri"/>
          <w:sz w:val="24"/>
          <w:szCs w:val="24"/>
        </w:rPr>
        <w:t xml:space="preserve">How will future model simulations capture the potential impact of water recycling on plume </w:t>
      </w:r>
      <w:r w:rsidR="0026093F">
        <w:rPr>
          <w:rFonts w:ascii="Tw Cen MT" w:hAnsi="Tw Cen MT" w:cs="Calibri"/>
          <w:sz w:val="24"/>
          <w:szCs w:val="24"/>
        </w:rPr>
        <w:t xml:space="preserve">dispersion and pollution impact? Discussion ensued—the short answer is that </w:t>
      </w:r>
      <w:r w:rsidR="00DD59FA">
        <w:rPr>
          <w:rFonts w:ascii="Tw Cen MT" w:hAnsi="Tw Cen MT" w:cs="Calibri"/>
          <w:sz w:val="24"/>
          <w:szCs w:val="24"/>
        </w:rPr>
        <w:t xml:space="preserve">1) </w:t>
      </w:r>
      <w:r w:rsidR="0026093F">
        <w:rPr>
          <w:rFonts w:ascii="Tw Cen MT" w:hAnsi="Tw Cen MT" w:cs="Calibri"/>
          <w:sz w:val="24"/>
          <w:szCs w:val="24"/>
        </w:rPr>
        <w:t xml:space="preserve">OCSD is actively pursuing this </w:t>
      </w:r>
      <w:r w:rsidR="000C3651">
        <w:rPr>
          <w:rFonts w:ascii="Tw Cen MT" w:hAnsi="Tw Cen MT" w:cs="Calibri"/>
          <w:sz w:val="24"/>
          <w:szCs w:val="24"/>
        </w:rPr>
        <w:t>course of action</w:t>
      </w:r>
      <w:r w:rsidR="0026093F">
        <w:rPr>
          <w:rFonts w:ascii="Tw Cen MT" w:hAnsi="Tw Cen MT" w:cs="Calibri"/>
          <w:sz w:val="24"/>
          <w:szCs w:val="24"/>
        </w:rPr>
        <w:t xml:space="preserve">, so to some degree their effluent record </w:t>
      </w:r>
      <w:r w:rsidR="0026093F">
        <w:rPr>
          <w:rFonts w:ascii="Tw Cen MT" w:hAnsi="Tw Cen MT" w:cs="Calibri"/>
          <w:sz w:val="24"/>
          <w:szCs w:val="24"/>
        </w:rPr>
        <w:lastRenderedPageBreak/>
        <w:t xml:space="preserve">reflects this progressive change in nutrient concentration </w:t>
      </w:r>
      <w:r w:rsidR="00DD59FA">
        <w:rPr>
          <w:rFonts w:ascii="Tw Cen MT" w:hAnsi="Tw Cen MT" w:cs="Calibri"/>
          <w:sz w:val="24"/>
          <w:szCs w:val="24"/>
        </w:rPr>
        <w:t xml:space="preserve">and effluent volume </w:t>
      </w:r>
      <w:r w:rsidR="000C3651">
        <w:rPr>
          <w:rFonts w:ascii="Tw Cen MT" w:hAnsi="Tw Cen MT" w:cs="Calibri"/>
          <w:sz w:val="24"/>
          <w:szCs w:val="24"/>
        </w:rPr>
        <w:t xml:space="preserve">over tie (since the 2000s) </w:t>
      </w:r>
      <w:r w:rsidR="00DD59FA">
        <w:rPr>
          <w:rFonts w:ascii="Tw Cen MT" w:hAnsi="Tw Cen MT" w:cs="Calibri"/>
          <w:sz w:val="24"/>
          <w:szCs w:val="24"/>
        </w:rPr>
        <w:t xml:space="preserve">and 2) OCSD has proposed to have the modeling team do </w:t>
      </w:r>
      <w:r w:rsidR="00573633">
        <w:rPr>
          <w:rFonts w:ascii="Tw Cen MT" w:hAnsi="Tw Cen MT" w:cs="Calibri"/>
          <w:sz w:val="24"/>
          <w:szCs w:val="24"/>
        </w:rPr>
        <w:t>an intensive</w:t>
      </w:r>
      <w:r w:rsidR="00DD59FA">
        <w:rPr>
          <w:rFonts w:ascii="Tw Cen MT" w:hAnsi="Tw Cen MT" w:cs="Calibri"/>
          <w:sz w:val="24"/>
          <w:szCs w:val="24"/>
        </w:rPr>
        <w:t xml:space="preserve"> validation of modeled plume dispersion and pollution impact assessment, so if this proposed project is funded, we will have an opportunity to evaluate this more in detail. </w:t>
      </w:r>
    </w:p>
    <w:p w:rsidR="00DD59FA" w:rsidRDefault="00DD59FA" w:rsidP="00DA6BDD">
      <w:pPr>
        <w:pStyle w:val="ListParagraph"/>
        <w:numPr>
          <w:ilvl w:val="1"/>
          <w:numId w:val="7"/>
        </w:numPr>
        <w:spacing w:after="120" w:line="240" w:lineRule="auto"/>
        <w:contextualSpacing w:val="0"/>
        <w:rPr>
          <w:rFonts w:ascii="Tw Cen MT" w:hAnsi="Tw Cen MT" w:cs="Calibri"/>
          <w:sz w:val="24"/>
          <w:szCs w:val="24"/>
        </w:rPr>
      </w:pPr>
      <w:r>
        <w:rPr>
          <w:rFonts w:ascii="Tw Cen MT" w:hAnsi="Tw Cen MT" w:cs="Calibri"/>
          <w:sz w:val="24"/>
          <w:szCs w:val="24"/>
        </w:rPr>
        <w:t xml:space="preserve">The question of whether DIC in wastewater effluent was measured. The answer is no—it is being backed out from alkalinity and pH. Feely said that the conversion may not hold with wastewater the way it does with seawater. Sutula </w:t>
      </w:r>
      <w:r w:rsidR="000C3651">
        <w:rPr>
          <w:rFonts w:ascii="Tw Cen MT" w:hAnsi="Tw Cen MT" w:cs="Calibri"/>
          <w:sz w:val="24"/>
          <w:szCs w:val="24"/>
        </w:rPr>
        <w:t xml:space="preserve">said that we can look at the sensitivity of this data gap in short modeling experiments and decide if we need to prioritize this gap for stage 2 work. </w:t>
      </w:r>
    </w:p>
    <w:p w:rsidR="00132FB0" w:rsidRPr="00132FB0" w:rsidRDefault="00132FB0" w:rsidP="008549EF">
      <w:pPr>
        <w:spacing w:after="120" w:line="240" w:lineRule="auto"/>
        <w:rPr>
          <w:rFonts w:ascii="Tw Cen MT" w:hAnsi="Tw Cen MT" w:cs="Calibri"/>
          <w:sz w:val="24"/>
          <w:szCs w:val="24"/>
        </w:rPr>
      </w:pPr>
    </w:p>
    <w:p w:rsidR="00C72F87" w:rsidRDefault="00C72F87" w:rsidP="00B378DC">
      <w:pPr>
        <w:spacing w:after="120" w:line="240" w:lineRule="auto"/>
        <w:outlineLvl w:val="0"/>
        <w:rPr>
          <w:rFonts w:ascii="Tw Cen MT" w:hAnsi="Tw Cen MT" w:cs="Calibri"/>
          <w:b/>
          <w:sz w:val="24"/>
          <w:szCs w:val="24"/>
        </w:rPr>
      </w:pPr>
      <w:r w:rsidRPr="00EC3DBD">
        <w:rPr>
          <w:rFonts w:ascii="Tw Cen MT" w:hAnsi="Tw Cen MT" w:cs="Calibri"/>
          <w:b/>
          <w:sz w:val="24"/>
          <w:szCs w:val="24"/>
        </w:rPr>
        <w:t xml:space="preserve">Approach to </w:t>
      </w:r>
      <w:r w:rsidR="000C3651">
        <w:rPr>
          <w:rFonts w:ascii="Tw Cen MT" w:hAnsi="Tw Cen MT" w:cs="Calibri"/>
          <w:b/>
          <w:sz w:val="24"/>
          <w:szCs w:val="24"/>
        </w:rPr>
        <w:t>Focused Validation</w:t>
      </w:r>
    </w:p>
    <w:p w:rsidR="00C571ED" w:rsidRDefault="000C3651" w:rsidP="008549EF">
      <w:pPr>
        <w:pStyle w:val="ListParagraph"/>
        <w:numPr>
          <w:ilvl w:val="0"/>
          <w:numId w:val="7"/>
        </w:numPr>
        <w:spacing w:after="120" w:line="240" w:lineRule="auto"/>
        <w:contextualSpacing w:val="0"/>
        <w:rPr>
          <w:rFonts w:ascii="Tw Cen MT" w:hAnsi="Tw Cen MT" w:cs="Calibri"/>
          <w:sz w:val="24"/>
          <w:szCs w:val="24"/>
        </w:rPr>
      </w:pPr>
      <w:r>
        <w:rPr>
          <w:rFonts w:ascii="Tw Cen MT" w:hAnsi="Tw Cen MT" w:cs="Calibri"/>
          <w:sz w:val="24"/>
          <w:szCs w:val="24"/>
        </w:rPr>
        <w:t>Karen McLaughlin and Faycal Kessouri</w:t>
      </w:r>
      <w:r w:rsidR="00576B4D">
        <w:rPr>
          <w:rFonts w:ascii="Tw Cen MT" w:hAnsi="Tw Cen MT" w:cs="Calibri"/>
          <w:sz w:val="24"/>
          <w:szCs w:val="24"/>
        </w:rPr>
        <w:t xml:space="preserve"> presented the approach to focused validation of the ROMs-BEC for the purposes of application to investigate the impact of local pollution sources (see presentation</w:t>
      </w:r>
      <w:r w:rsidR="007A2213">
        <w:rPr>
          <w:rFonts w:ascii="Tw Cen MT" w:hAnsi="Tw Cen MT" w:cs="Calibri"/>
          <w:sz w:val="24"/>
          <w:szCs w:val="24"/>
        </w:rPr>
        <w:t xml:space="preserve"> starting slide 53 -104 of AM presentations</w:t>
      </w:r>
      <w:r w:rsidR="00576B4D">
        <w:rPr>
          <w:rFonts w:ascii="Tw Cen MT" w:hAnsi="Tw Cen MT" w:cs="Calibri"/>
          <w:sz w:val="24"/>
          <w:szCs w:val="24"/>
        </w:rPr>
        <w:t>)</w:t>
      </w:r>
      <w:r>
        <w:rPr>
          <w:rFonts w:ascii="Tw Cen MT" w:hAnsi="Tw Cen MT" w:cs="Calibri"/>
          <w:sz w:val="24"/>
          <w:szCs w:val="24"/>
        </w:rPr>
        <w:t xml:space="preserve">. </w:t>
      </w:r>
    </w:p>
    <w:p w:rsidR="006E4330" w:rsidRDefault="007A2213" w:rsidP="008549EF">
      <w:pPr>
        <w:pStyle w:val="ListParagraph"/>
        <w:numPr>
          <w:ilvl w:val="0"/>
          <w:numId w:val="7"/>
        </w:numPr>
        <w:spacing w:after="120" w:line="240" w:lineRule="auto"/>
        <w:contextualSpacing w:val="0"/>
        <w:rPr>
          <w:rFonts w:ascii="Tw Cen MT" w:hAnsi="Tw Cen MT" w:cs="Calibri"/>
          <w:sz w:val="24"/>
          <w:szCs w:val="24"/>
        </w:rPr>
      </w:pPr>
      <w:r>
        <w:rPr>
          <w:rFonts w:ascii="Tw Cen MT" w:hAnsi="Tw Cen MT" w:cs="Calibri"/>
          <w:sz w:val="24"/>
          <w:szCs w:val="24"/>
        </w:rPr>
        <w:t xml:space="preserve">McLaughlin talked about what data sets and parameters are available for use in validation in Stage 1 and 2 of focused validation. Her main message was that 1) there are a lot of data available in SCB (one of the best and long-standing ocean observing programs in the world); 2) but data are patchy in space and time (so validation will require a mosaic of data sources), 3) observations get better with time (i.e. most data on chemistry and process rates are available after 2007, so the first stage of validation will focus on remote sensing, ship-based data and POTW thermistor/ADCP data, largely focused on broad scale patterns within the Bight, while the second stage of validation will allow more focused on the biogeochemistry and validation along the coast.   She showed several examples of the types of patterns that the model should be able to reproduce. </w:t>
      </w:r>
    </w:p>
    <w:p w:rsidR="002A57C6" w:rsidRDefault="00223C82" w:rsidP="008549EF">
      <w:pPr>
        <w:pStyle w:val="ListParagraph"/>
        <w:numPr>
          <w:ilvl w:val="0"/>
          <w:numId w:val="7"/>
        </w:numPr>
        <w:spacing w:after="120" w:line="240" w:lineRule="auto"/>
        <w:contextualSpacing w:val="0"/>
        <w:rPr>
          <w:rFonts w:ascii="Tw Cen MT" w:hAnsi="Tw Cen MT" w:cs="Calibri"/>
          <w:sz w:val="24"/>
          <w:szCs w:val="24"/>
        </w:rPr>
      </w:pPr>
      <w:r>
        <w:rPr>
          <w:rFonts w:ascii="Tw Cen MT" w:hAnsi="Tw Cen MT" w:cs="Calibri"/>
          <w:sz w:val="24"/>
          <w:szCs w:val="24"/>
        </w:rPr>
        <w:t xml:space="preserve">Kessouri discussed the types of key graphic and metrics that would be assessed in the focused validation. He talked about: 1) visual comparisons, 2) statistical metrics of model performance, 3) reproducing events, and 4) assessing performance vis-à-vis management endpoints, giving examples of the types of comparison by data type and for physics versus biogeochemical state and process rates. He finished with a summary of which types of comparisons were of high, medium and low priority for the team, by parameter and data type. He solicited feedback from the group on this. </w:t>
      </w:r>
    </w:p>
    <w:p w:rsidR="00223C82" w:rsidRDefault="00223C82" w:rsidP="008549EF">
      <w:pPr>
        <w:pStyle w:val="ListParagraph"/>
        <w:numPr>
          <w:ilvl w:val="0"/>
          <w:numId w:val="7"/>
        </w:numPr>
        <w:spacing w:after="120" w:line="240" w:lineRule="auto"/>
        <w:contextualSpacing w:val="0"/>
        <w:rPr>
          <w:rFonts w:ascii="Tw Cen MT" w:hAnsi="Tw Cen MT" w:cs="Calibri"/>
          <w:sz w:val="24"/>
          <w:szCs w:val="24"/>
        </w:rPr>
      </w:pPr>
      <w:r>
        <w:rPr>
          <w:rFonts w:ascii="Tw Cen MT" w:hAnsi="Tw Cen MT" w:cs="Calibri"/>
          <w:sz w:val="24"/>
          <w:szCs w:val="24"/>
        </w:rPr>
        <w:t xml:space="preserve">Discussion ensued. There were several suggestions: </w:t>
      </w:r>
    </w:p>
    <w:p w:rsidR="00223C82" w:rsidRDefault="00223C82" w:rsidP="00223C82">
      <w:pPr>
        <w:pStyle w:val="ListParagraph"/>
        <w:numPr>
          <w:ilvl w:val="1"/>
          <w:numId w:val="7"/>
        </w:numPr>
        <w:spacing w:after="120" w:line="240" w:lineRule="auto"/>
        <w:contextualSpacing w:val="0"/>
        <w:rPr>
          <w:rFonts w:ascii="Tw Cen MT" w:hAnsi="Tw Cen MT" w:cs="Calibri"/>
          <w:sz w:val="24"/>
          <w:szCs w:val="24"/>
        </w:rPr>
      </w:pPr>
      <w:r>
        <w:rPr>
          <w:rFonts w:ascii="Tw Cen MT" w:hAnsi="Tw Cen MT" w:cs="Calibri"/>
          <w:sz w:val="24"/>
          <w:szCs w:val="24"/>
        </w:rPr>
        <w:t xml:space="preserve">There was a suggestion to add plume dispersal to the table and make that high priority, so there was a suggestion to also prioritize salinity at all scales. </w:t>
      </w:r>
    </w:p>
    <w:p w:rsidR="00223C82" w:rsidRDefault="00223C82" w:rsidP="00223C82">
      <w:pPr>
        <w:pStyle w:val="ListParagraph"/>
        <w:numPr>
          <w:ilvl w:val="1"/>
          <w:numId w:val="7"/>
        </w:numPr>
        <w:spacing w:after="120" w:line="240" w:lineRule="auto"/>
        <w:contextualSpacing w:val="0"/>
        <w:rPr>
          <w:rFonts w:ascii="Tw Cen MT" w:hAnsi="Tw Cen MT" w:cs="Calibri"/>
          <w:sz w:val="24"/>
          <w:szCs w:val="24"/>
        </w:rPr>
      </w:pPr>
      <w:r>
        <w:rPr>
          <w:rFonts w:ascii="Tw Cen MT" w:hAnsi="Tw Cen MT" w:cs="Calibri"/>
          <w:sz w:val="24"/>
          <w:szCs w:val="24"/>
        </w:rPr>
        <w:t xml:space="preserve">There was a suggestion and/or clarification that the acidification outcome parameters should include not only omega saturation state but also pH and pC02. </w:t>
      </w:r>
    </w:p>
    <w:p w:rsidR="00223C82" w:rsidRDefault="00223C82" w:rsidP="00223C82">
      <w:pPr>
        <w:pStyle w:val="ListParagraph"/>
        <w:numPr>
          <w:ilvl w:val="1"/>
          <w:numId w:val="7"/>
        </w:numPr>
        <w:spacing w:after="120" w:line="240" w:lineRule="auto"/>
        <w:contextualSpacing w:val="0"/>
        <w:rPr>
          <w:rFonts w:ascii="Tw Cen MT" w:hAnsi="Tw Cen MT" w:cs="Calibri"/>
          <w:sz w:val="24"/>
          <w:szCs w:val="24"/>
        </w:rPr>
      </w:pPr>
      <w:r>
        <w:rPr>
          <w:rFonts w:ascii="Tw Cen MT" w:hAnsi="Tw Cen MT" w:cs="Calibri"/>
          <w:sz w:val="24"/>
          <w:szCs w:val="24"/>
        </w:rPr>
        <w:t xml:space="preserve">The group wanted to know why the alongshore validation was only of medium priority; FK responded that the modeling group thought that the Region may not be showing strong gradients among subregions (see Karen’s talk), but the if we are considering the entire Bight, or the entire California coast, then that scale becomes important. </w:t>
      </w:r>
    </w:p>
    <w:p w:rsidR="00223C82" w:rsidRPr="00223C82" w:rsidRDefault="00223C82" w:rsidP="00223C82">
      <w:pPr>
        <w:pStyle w:val="ListParagraph"/>
        <w:spacing w:after="120" w:line="240" w:lineRule="auto"/>
        <w:ind w:left="1080"/>
        <w:contextualSpacing w:val="0"/>
        <w:rPr>
          <w:rFonts w:ascii="Tw Cen MT" w:hAnsi="Tw Cen MT" w:cs="Calibri"/>
          <w:sz w:val="24"/>
          <w:szCs w:val="24"/>
        </w:rPr>
      </w:pPr>
    </w:p>
    <w:p w:rsidR="00223C82" w:rsidRDefault="00223C82" w:rsidP="008549EF">
      <w:pPr>
        <w:spacing w:after="120" w:line="240" w:lineRule="auto"/>
        <w:rPr>
          <w:rFonts w:ascii="Tw Cen MT" w:hAnsi="Tw Cen MT" w:cs="Calibri"/>
          <w:b/>
          <w:sz w:val="24"/>
          <w:szCs w:val="24"/>
        </w:rPr>
      </w:pPr>
      <w:r w:rsidRPr="00223C82">
        <w:rPr>
          <w:rFonts w:ascii="Tw Cen MT" w:eastAsiaTheme="minorEastAsia" w:hAnsi="Tw Cen MT" w:cs="Calibri"/>
          <w:noProof/>
          <w:sz w:val="24"/>
          <w:szCs w:val="24"/>
        </w:rPr>
        <w:lastRenderedPageBreak/>
        <w:drawing>
          <wp:inline distT="0" distB="0" distL="0" distR="0">
            <wp:extent cx="5067300" cy="28016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7196" cy="2807088"/>
                    </a:xfrm>
                    <a:prstGeom prst="rect">
                      <a:avLst/>
                    </a:prstGeom>
                    <a:noFill/>
                    <a:ln>
                      <a:noFill/>
                    </a:ln>
                  </pic:spPr>
                </pic:pic>
              </a:graphicData>
            </a:graphic>
          </wp:inline>
        </w:drawing>
      </w:r>
    </w:p>
    <w:p w:rsidR="00223C82" w:rsidRDefault="00223C82" w:rsidP="008549EF">
      <w:pPr>
        <w:spacing w:after="120" w:line="240" w:lineRule="auto"/>
        <w:rPr>
          <w:rFonts w:ascii="Tw Cen MT" w:hAnsi="Tw Cen MT" w:cs="Calibri"/>
          <w:b/>
          <w:sz w:val="24"/>
          <w:szCs w:val="24"/>
        </w:rPr>
      </w:pPr>
    </w:p>
    <w:p w:rsidR="00223C82" w:rsidRDefault="00223C82" w:rsidP="00B378DC">
      <w:pPr>
        <w:spacing w:after="120" w:line="240" w:lineRule="auto"/>
        <w:outlineLvl w:val="0"/>
        <w:rPr>
          <w:rFonts w:ascii="Tw Cen MT" w:hAnsi="Tw Cen MT" w:cs="Calibri"/>
          <w:b/>
          <w:sz w:val="24"/>
          <w:szCs w:val="24"/>
        </w:rPr>
      </w:pPr>
      <w:r>
        <w:rPr>
          <w:rFonts w:ascii="Tw Cen MT" w:hAnsi="Tw Cen MT" w:cs="Calibri"/>
          <w:b/>
          <w:sz w:val="24"/>
          <w:szCs w:val="24"/>
        </w:rPr>
        <w:t>Afternoon—Pollution Impact Assessment</w:t>
      </w:r>
      <w:r w:rsidR="000C061E">
        <w:rPr>
          <w:rFonts w:ascii="Tw Cen MT" w:hAnsi="Tw Cen MT" w:cs="Calibri"/>
          <w:b/>
          <w:sz w:val="24"/>
          <w:szCs w:val="24"/>
        </w:rPr>
        <w:t xml:space="preserve"> Methodology</w:t>
      </w:r>
    </w:p>
    <w:p w:rsidR="00223C82" w:rsidRDefault="00223C82" w:rsidP="008549EF">
      <w:pPr>
        <w:spacing w:after="120" w:line="240" w:lineRule="auto"/>
        <w:rPr>
          <w:rFonts w:ascii="Tw Cen MT" w:hAnsi="Tw Cen MT" w:cs="Calibri"/>
          <w:b/>
          <w:sz w:val="24"/>
          <w:szCs w:val="24"/>
        </w:rPr>
      </w:pPr>
    </w:p>
    <w:p w:rsidR="001B2E4C" w:rsidRDefault="000C061E" w:rsidP="008549EF">
      <w:pPr>
        <w:spacing w:after="120" w:line="240" w:lineRule="auto"/>
        <w:rPr>
          <w:rFonts w:ascii="Tw Cen MT" w:hAnsi="Tw Cen MT" w:cs="Calibri"/>
          <w:sz w:val="24"/>
          <w:szCs w:val="24"/>
        </w:rPr>
      </w:pPr>
      <w:r w:rsidRPr="000C061E">
        <w:rPr>
          <w:rFonts w:ascii="Tw Cen MT" w:hAnsi="Tw Cen MT" w:cs="Calibri"/>
          <w:sz w:val="24"/>
          <w:szCs w:val="24"/>
        </w:rPr>
        <w:t xml:space="preserve">Martha Sutula, Nina Bednarsek, and Evan Howard provided a coordinated presentation on the overarching approach to assessing the impact of </w:t>
      </w:r>
      <w:r>
        <w:rPr>
          <w:rFonts w:ascii="Tw Cen MT" w:hAnsi="Tw Cen MT" w:cs="Calibri"/>
          <w:sz w:val="24"/>
          <w:szCs w:val="24"/>
        </w:rPr>
        <w:t xml:space="preserve">local pollution sources. </w:t>
      </w:r>
    </w:p>
    <w:p w:rsidR="00726505" w:rsidRDefault="000C061E" w:rsidP="008549EF">
      <w:pPr>
        <w:spacing w:after="120" w:line="240" w:lineRule="auto"/>
        <w:rPr>
          <w:rFonts w:ascii="Tw Cen MT" w:hAnsi="Tw Cen MT" w:cs="Calibri"/>
          <w:sz w:val="24"/>
          <w:szCs w:val="24"/>
        </w:rPr>
      </w:pPr>
      <w:r>
        <w:rPr>
          <w:rFonts w:ascii="Tw Cen MT" w:hAnsi="Tw Cen MT" w:cs="Calibri"/>
          <w:sz w:val="24"/>
          <w:szCs w:val="24"/>
        </w:rPr>
        <w:t>Sutula started out with an overarching approach, noting</w:t>
      </w:r>
      <w:r w:rsidR="001B2E4C">
        <w:rPr>
          <w:rFonts w:ascii="Tw Cen MT" w:hAnsi="Tw Cen MT" w:cs="Calibri"/>
          <w:sz w:val="24"/>
          <w:szCs w:val="24"/>
        </w:rPr>
        <w:t>: 1) near-term plans are to focus on OA and hypoxia, but long-term plan includes extending ROMS-BEC to HABs, 2) ocean plan standards are inadequate to assess the effects of local pollution sources on OAH, 3) the team has made significant progress on an approach to develop OAH endpoints based on biological impacts to marine organisms</w:t>
      </w:r>
      <w:r w:rsidR="00126CA2">
        <w:rPr>
          <w:rFonts w:ascii="Tw Cen MT" w:hAnsi="Tw Cen MT" w:cs="Calibri"/>
          <w:sz w:val="24"/>
          <w:szCs w:val="24"/>
        </w:rPr>
        <w:t>, and 4) the basis for this assessment is “habitat compression”</w:t>
      </w:r>
      <w:r w:rsidR="001B2E4C">
        <w:rPr>
          <w:rFonts w:ascii="Tw Cen MT" w:hAnsi="Tw Cen MT" w:cs="Calibri"/>
          <w:sz w:val="24"/>
          <w:szCs w:val="24"/>
        </w:rPr>
        <w:t xml:space="preserve">. She presented selection criteria for organisms, presented what organisms the team currently has or will have by the fall 2018 as the basis for impact assessment.  For the fall, these include pteropods (pelagic) and echinoderms (benthic and pelagic life stages) for OA and anchovy and an average fish case (pelagic) for and a crustacean and/or demersal fish for DO. She described that for both OA and hypoxia, the scientific approaches </w:t>
      </w:r>
      <w:r w:rsidR="00726505">
        <w:rPr>
          <w:rFonts w:ascii="Tw Cen MT" w:hAnsi="Tw Cen MT" w:cs="Calibri"/>
          <w:sz w:val="24"/>
          <w:szCs w:val="24"/>
        </w:rPr>
        <w:t xml:space="preserve">could </w:t>
      </w:r>
      <w:r w:rsidR="001B2E4C">
        <w:rPr>
          <w:rFonts w:ascii="Tw Cen MT" w:hAnsi="Tw Cen MT" w:cs="Calibri"/>
          <w:sz w:val="24"/>
          <w:szCs w:val="24"/>
        </w:rPr>
        <w:t>include 1) consideration of single stressor thresholds, assembled in a key graphic and 2) multivariate statistical response models, that can be applied to model output, that can predict the impact of acidity and DO, in combination with temperature, on population measures such as abundance.</w:t>
      </w:r>
    </w:p>
    <w:p w:rsidR="00726505" w:rsidRPr="00726505" w:rsidRDefault="00726505" w:rsidP="00726505">
      <w:pPr>
        <w:spacing w:after="120" w:line="240" w:lineRule="auto"/>
        <w:rPr>
          <w:rFonts w:ascii="Tw Cen MT" w:hAnsi="Tw Cen MT" w:cs="Calibri"/>
          <w:sz w:val="24"/>
          <w:szCs w:val="24"/>
        </w:rPr>
      </w:pPr>
      <w:r>
        <w:rPr>
          <w:rFonts w:ascii="Tw Cen MT" w:hAnsi="Tw Cen MT" w:cs="Calibri"/>
          <w:sz w:val="24"/>
          <w:szCs w:val="24"/>
        </w:rPr>
        <w:t>Bednarsek proceeded to provide the synthesis of OA—focusing her example on recent work with pteropods, but noting that work has advanced significantly for echinoderms (see presentations). The take home message from her talk was that the team has a</w:t>
      </w:r>
      <w:r w:rsidRPr="00726505">
        <w:rPr>
          <w:rFonts w:ascii="Tw Cen MT" w:hAnsi="Tw Cen MT" w:cs="Calibri"/>
          <w:sz w:val="24"/>
          <w:szCs w:val="24"/>
        </w:rPr>
        <w:t xml:space="preserve"> key graphic of synthesized </w:t>
      </w:r>
      <w:r>
        <w:rPr>
          <w:rFonts w:ascii="Tw Cen MT" w:hAnsi="Tw Cen MT" w:cs="Calibri"/>
          <w:sz w:val="24"/>
          <w:szCs w:val="24"/>
        </w:rPr>
        <w:t xml:space="preserve">omega saturation state </w:t>
      </w:r>
      <w:r w:rsidRPr="00726505">
        <w:rPr>
          <w:rFonts w:ascii="Tw Cen MT" w:hAnsi="Tw Cen MT" w:cs="Calibri"/>
          <w:sz w:val="24"/>
          <w:szCs w:val="24"/>
        </w:rPr>
        <w:t>thresholds for pteropods</w:t>
      </w:r>
      <w:r>
        <w:rPr>
          <w:rFonts w:ascii="Tw Cen MT" w:hAnsi="Tw Cen MT" w:cs="Calibri"/>
          <w:sz w:val="24"/>
          <w:szCs w:val="24"/>
        </w:rPr>
        <w:t xml:space="preserve">, developed with expert consensus in a 4-step process, the team has developed a habitat suitability index model that can predict 70% of the variation in observed abundances. Both the expert synthesis of pteropod OA thresholds and the HSI manuscripts are in prep. The team is proposing to demonstrate the applicability of the tools in the Stage 1 impact assessment. </w:t>
      </w:r>
    </w:p>
    <w:p w:rsidR="00726505" w:rsidRPr="00726505" w:rsidRDefault="00726505" w:rsidP="00726505">
      <w:pPr>
        <w:spacing w:after="120" w:line="240" w:lineRule="auto"/>
        <w:rPr>
          <w:rFonts w:ascii="Tw Cen MT" w:hAnsi="Tw Cen MT" w:cs="Calibri"/>
          <w:sz w:val="24"/>
          <w:szCs w:val="24"/>
        </w:rPr>
      </w:pPr>
      <w:r>
        <w:rPr>
          <w:rFonts w:ascii="Tw Cen MT" w:hAnsi="Tw Cen MT" w:cs="Calibri"/>
          <w:sz w:val="24"/>
          <w:szCs w:val="24"/>
        </w:rPr>
        <w:t xml:space="preserve">Evan Howard presented on behalf of the UW team. He began by noting that although a synthesis of DO concentration thresholds exist, use of these thresholds posed several problems (see start at slide 52) that could result in false negative or false positives. Instead, the team is proposing to use </w:t>
      </w:r>
      <w:r>
        <w:rPr>
          <w:rFonts w:ascii="Tw Cen MT" w:hAnsi="Tw Cen MT" w:cs="Calibri"/>
          <w:sz w:val="24"/>
          <w:szCs w:val="24"/>
        </w:rPr>
        <w:lastRenderedPageBreak/>
        <w:t xml:space="preserve">the metabolic index approach, which accounts for both organismal demand and environmental supply that is temperature dependent. The metabolic index can be experimentally determined or empirically derived. He presented an extended example for anchovy, demonstrating that the model predicts up to 90% of the variability in observed biogeographic data for anchovies and that the MI has be validated on several special and temporal scales. </w:t>
      </w:r>
      <w:r w:rsidR="00126CA2">
        <w:rPr>
          <w:rFonts w:ascii="Tw Cen MT" w:hAnsi="Tw Cen MT" w:cs="Calibri"/>
          <w:sz w:val="24"/>
          <w:szCs w:val="24"/>
        </w:rPr>
        <w:t xml:space="preserve">A manuscript is in prep on Anchovies—and two other taxa (benthic invertebrate and demersal fish) are expected to be completed this fall, in time for use in the pollution impact assessment. </w:t>
      </w:r>
    </w:p>
    <w:p w:rsidR="000C061E" w:rsidRDefault="00126CA2" w:rsidP="00726505">
      <w:pPr>
        <w:spacing w:after="120" w:line="240" w:lineRule="auto"/>
        <w:rPr>
          <w:rFonts w:ascii="Tw Cen MT" w:hAnsi="Tw Cen MT" w:cs="Calibri"/>
          <w:sz w:val="24"/>
          <w:szCs w:val="24"/>
        </w:rPr>
      </w:pPr>
      <w:r>
        <w:rPr>
          <w:rFonts w:ascii="Tw Cen MT" w:hAnsi="Tw Cen MT" w:cs="Calibri"/>
          <w:sz w:val="24"/>
          <w:szCs w:val="24"/>
        </w:rPr>
        <w:t>Sutula wrapped up the proposal by summarizing the proposal as follows in two slides. She noted that the HSI and metabolic indices could be used to assess realistic habitat to assess net change in habitat.</w:t>
      </w:r>
      <w:r w:rsidR="0036204B">
        <w:rPr>
          <w:rFonts w:ascii="Tw Cen MT" w:hAnsi="Tw Cen MT" w:cs="Calibri"/>
          <w:sz w:val="24"/>
          <w:szCs w:val="24"/>
        </w:rPr>
        <w:t xml:space="preserve"> Change would be evaluated on both spatial (net change in volume) and temporal scales (duration, intensity, and severity) of departure from thresholds. The thresholds proposed below are nominally used to bracket a range from severe (lethal) effects to sublethal effects. </w:t>
      </w:r>
      <w:r>
        <w:rPr>
          <w:rFonts w:ascii="Tw Cen MT" w:hAnsi="Tw Cen MT" w:cs="Calibri"/>
          <w:sz w:val="24"/>
          <w:szCs w:val="24"/>
        </w:rPr>
        <w:t xml:space="preserve"> </w:t>
      </w:r>
    </w:p>
    <w:p w:rsidR="00126CA2" w:rsidRDefault="00126CA2" w:rsidP="00726505">
      <w:pPr>
        <w:spacing w:after="120" w:line="240" w:lineRule="auto"/>
        <w:rPr>
          <w:rFonts w:ascii="Tw Cen MT" w:hAnsi="Tw Cen MT" w:cs="Calibri"/>
          <w:sz w:val="24"/>
          <w:szCs w:val="24"/>
        </w:rPr>
      </w:pPr>
    </w:p>
    <w:p w:rsidR="00126CA2" w:rsidRPr="000C061E" w:rsidRDefault="00126CA2" w:rsidP="00726505">
      <w:pPr>
        <w:spacing w:after="120" w:line="240" w:lineRule="auto"/>
        <w:rPr>
          <w:rFonts w:ascii="Tw Cen MT" w:hAnsi="Tw Cen MT" w:cs="Calibri"/>
          <w:sz w:val="24"/>
          <w:szCs w:val="24"/>
        </w:rPr>
      </w:pPr>
      <w:r w:rsidRPr="00126CA2">
        <w:rPr>
          <w:rFonts w:ascii="Tw Cen MT" w:hAnsi="Tw Cen MT" w:cs="Calibri"/>
          <w:noProof/>
          <w:sz w:val="24"/>
          <w:szCs w:val="24"/>
        </w:rPr>
        <w:drawing>
          <wp:inline distT="0" distB="0" distL="0" distR="0">
            <wp:extent cx="5851405" cy="2714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9793" cy="2727795"/>
                    </a:xfrm>
                    <a:prstGeom prst="rect">
                      <a:avLst/>
                    </a:prstGeom>
                    <a:noFill/>
                    <a:ln>
                      <a:noFill/>
                    </a:ln>
                  </pic:spPr>
                </pic:pic>
              </a:graphicData>
            </a:graphic>
          </wp:inline>
        </w:drawing>
      </w:r>
    </w:p>
    <w:p w:rsidR="00223C82" w:rsidRPr="000C061E" w:rsidRDefault="00126CA2" w:rsidP="008549EF">
      <w:pPr>
        <w:spacing w:after="120" w:line="240" w:lineRule="auto"/>
        <w:rPr>
          <w:rFonts w:ascii="Tw Cen MT" w:hAnsi="Tw Cen MT" w:cs="Calibri"/>
          <w:sz w:val="24"/>
          <w:szCs w:val="24"/>
        </w:rPr>
      </w:pPr>
      <w:r w:rsidRPr="00126CA2">
        <w:rPr>
          <w:rFonts w:ascii="Tw Cen MT" w:hAnsi="Tw Cen MT" w:cs="Calibri"/>
          <w:noProof/>
          <w:sz w:val="24"/>
          <w:szCs w:val="24"/>
        </w:rPr>
        <w:drawing>
          <wp:inline distT="0" distB="0" distL="0" distR="0">
            <wp:extent cx="6117789" cy="2181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8900" cy="2181621"/>
                    </a:xfrm>
                    <a:prstGeom prst="rect">
                      <a:avLst/>
                    </a:prstGeom>
                    <a:noFill/>
                    <a:ln>
                      <a:noFill/>
                    </a:ln>
                  </pic:spPr>
                </pic:pic>
              </a:graphicData>
            </a:graphic>
          </wp:inline>
        </w:drawing>
      </w:r>
    </w:p>
    <w:p w:rsidR="0036204B" w:rsidRDefault="0036204B" w:rsidP="00B378DC">
      <w:pPr>
        <w:spacing w:after="120" w:line="240" w:lineRule="auto"/>
        <w:outlineLvl w:val="0"/>
        <w:rPr>
          <w:rFonts w:ascii="Tw Cen MT" w:hAnsi="Tw Cen MT" w:cs="Calibri"/>
          <w:b/>
          <w:sz w:val="24"/>
          <w:szCs w:val="24"/>
        </w:rPr>
      </w:pPr>
      <w:r>
        <w:rPr>
          <w:rFonts w:ascii="Tw Cen MT" w:hAnsi="Tw Cen MT" w:cs="Calibri"/>
          <w:b/>
          <w:sz w:val="24"/>
          <w:szCs w:val="24"/>
        </w:rPr>
        <w:t xml:space="preserve">Discussion ensued, including: </w:t>
      </w:r>
    </w:p>
    <w:p w:rsidR="0036204B" w:rsidRDefault="0036204B" w:rsidP="0036204B">
      <w:pPr>
        <w:pStyle w:val="ListParagraph"/>
        <w:numPr>
          <w:ilvl w:val="0"/>
          <w:numId w:val="12"/>
        </w:numPr>
        <w:spacing w:after="120" w:line="240" w:lineRule="auto"/>
        <w:rPr>
          <w:rFonts w:ascii="Tw Cen MT" w:hAnsi="Tw Cen MT" w:cs="Calibri"/>
          <w:sz w:val="24"/>
          <w:szCs w:val="24"/>
        </w:rPr>
      </w:pPr>
      <w:r w:rsidRPr="0036204B">
        <w:rPr>
          <w:rFonts w:ascii="Tw Cen MT" w:hAnsi="Tw Cen MT" w:cs="Calibri"/>
          <w:sz w:val="24"/>
          <w:szCs w:val="24"/>
        </w:rPr>
        <w:t>With echinoderms, how would team deal wit</w:t>
      </w:r>
      <w:r>
        <w:rPr>
          <w:rFonts w:ascii="Tw Cen MT" w:hAnsi="Tw Cen MT" w:cs="Calibri"/>
          <w:sz w:val="24"/>
          <w:szCs w:val="24"/>
        </w:rPr>
        <w:t xml:space="preserve">h lumping/splitting of species? Answer was that experts would assist in decisions in whether or how to combine. </w:t>
      </w:r>
    </w:p>
    <w:p w:rsidR="0036204B" w:rsidRPr="0036204B" w:rsidRDefault="0036204B" w:rsidP="0036204B">
      <w:pPr>
        <w:pStyle w:val="ListParagraph"/>
        <w:numPr>
          <w:ilvl w:val="0"/>
          <w:numId w:val="12"/>
        </w:numPr>
        <w:spacing w:after="120" w:line="240" w:lineRule="auto"/>
        <w:rPr>
          <w:rFonts w:ascii="Tw Cen MT" w:hAnsi="Tw Cen MT" w:cs="Calibri"/>
          <w:sz w:val="24"/>
          <w:szCs w:val="24"/>
        </w:rPr>
      </w:pPr>
      <w:r>
        <w:rPr>
          <w:rFonts w:ascii="Tw Cen MT" w:hAnsi="Tw Cen MT" w:cs="Calibri"/>
          <w:sz w:val="24"/>
          <w:szCs w:val="24"/>
        </w:rPr>
        <w:lastRenderedPageBreak/>
        <w:t xml:space="preserve">Comment from Wyer (OPC staff) that the response models (HSI and metabolic indices) seem particularly important to have for interpretation of model output. Wilkens (CDFW) noted that it would be helpful to have a briefing for the Pacific Fisheries Management Council or its science teams on this work. </w:t>
      </w:r>
    </w:p>
    <w:p w:rsidR="0036204B" w:rsidRDefault="0036204B" w:rsidP="008549EF">
      <w:pPr>
        <w:spacing w:after="120" w:line="240" w:lineRule="auto"/>
        <w:rPr>
          <w:rFonts w:ascii="Tw Cen MT" w:hAnsi="Tw Cen MT" w:cs="Calibri"/>
          <w:b/>
          <w:sz w:val="24"/>
          <w:szCs w:val="24"/>
        </w:rPr>
      </w:pPr>
    </w:p>
    <w:p w:rsidR="00BE5F3A" w:rsidRPr="00EC3DBD" w:rsidRDefault="00BE5F3A" w:rsidP="00B378DC">
      <w:pPr>
        <w:spacing w:after="120" w:line="240" w:lineRule="auto"/>
        <w:outlineLvl w:val="0"/>
        <w:rPr>
          <w:rFonts w:ascii="Tw Cen MT" w:hAnsi="Tw Cen MT" w:cs="Calibri"/>
          <w:b/>
          <w:sz w:val="24"/>
          <w:szCs w:val="24"/>
        </w:rPr>
      </w:pPr>
      <w:r w:rsidRPr="00EC3DBD">
        <w:rPr>
          <w:rFonts w:ascii="Tw Cen MT" w:hAnsi="Tw Cen MT" w:cs="Calibri"/>
          <w:b/>
          <w:sz w:val="24"/>
          <w:szCs w:val="24"/>
        </w:rPr>
        <w:t>Next Steps</w:t>
      </w:r>
      <w:r w:rsidR="00BE0666">
        <w:rPr>
          <w:rFonts w:ascii="Tw Cen MT" w:hAnsi="Tw Cen MT" w:cs="Calibri"/>
          <w:b/>
          <w:sz w:val="24"/>
          <w:szCs w:val="24"/>
        </w:rPr>
        <w:t xml:space="preserve"> and Action Items</w:t>
      </w:r>
    </w:p>
    <w:p w:rsidR="0036204B" w:rsidRDefault="0036204B" w:rsidP="008549EF">
      <w:pPr>
        <w:pStyle w:val="ListParagraph"/>
        <w:numPr>
          <w:ilvl w:val="0"/>
          <w:numId w:val="11"/>
        </w:numPr>
        <w:spacing w:after="120" w:line="240" w:lineRule="auto"/>
        <w:contextualSpacing w:val="0"/>
        <w:rPr>
          <w:rFonts w:ascii="Tw Cen MT" w:hAnsi="Tw Cen MT" w:cs="Calibri"/>
          <w:sz w:val="24"/>
          <w:szCs w:val="24"/>
        </w:rPr>
      </w:pPr>
      <w:r>
        <w:rPr>
          <w:rFonts w:ascii="Tw Cen MT" w:hAnsi="Tw Cen MT" w:cs="Calibri"/>
          <w:sz w:val="24"/>
          <w:szCs w:val="24"/>
        </w:rPr>
        <w:t xml:space="preserve">Group discussed the timing and need for additional meetings before the SAG reconvenes in the November -December 2018 timeframe. The group was very interested in having that meeting. Sutula agreed to follow up with CTAG and the SAG to decide on next steps. </w:t>
      </w:r>
    </w:p>
    <w:p w:rsidR="0036204B" w:rsidRDefault="005A4736" w:rsidP="0036204B">
      <w:pPr>
        <w:pStyle w:val="ListParagraph"/>
        <w:numPr>
          <w:ilvl w:val="0"/>
          <w:numId w:val="11"/>
        </w:numPr>
        <w:spacing w:after="120" w:line="240" w:lineRule="auto"/>
        <w:contextualSpacing w:val="0"/>
        <w:rPr>
          <w:rFonts w:ascii="Tw Cen MT" w:hAnsi="Tw Cen MT" w:cs="Calibri"/>
          <w:sz w:val="24"/>
          <w:szCs w:val="24"/>
        </w:rPr>
      </w:pPr>
      <w:r>
        <w:rPr>
          <w:rFonts w:ascii="Tw Cen MT" w:hAnsi="Tw Cen MT" w:cs="Calibri"/>
          <w:sz w:val="24"/>
          <w:szCs w:val="24"/>
        </w:rPr>
        <w:t>Modeling team wi</w:t>
      </w:r>
      <w:r w:rsidR="0036204B">
        <w:rPr>
          <w:rFonts w:ascii="Tw Cen MT" w:hAnsi="Tw Cen MT" w:cs="Calibri"/>
          <w:sz w:val="24"/>
          <w:szCs w:val="24"/>
        </w:rPr>
        <w:t xml:space="preserve">ll provide copies of validation, biological assessment endpoints or index </w:t>
      </w:r>
      <w:r>
        <w:rPr>
          <w:rFonts w:ascii="Tw Cen MT" w:hAnsi="Tw Cen MT" w:cs="Calibri"/>
          <w:sz w:val="24"/>
          <w:szCs w:val="24"/>
        </w:rPr>
        <w:t xml:space="preserve">manuscripts </w:t>
      </w:r>
      <w:r w:rsidR="0036204B">
        <w:rPr>
          <w:rFonts w:ascii="Tw Cen MT" w:hAnsi="Tw Cen MT" w:cs="Calibri"/>
          <w:sz w:val="24"/>
          <w:szCs w:val="24"/>
        </w:rPr>
        <w:t xml:space="preserve">for review as soon as they are available. </w:t>
      </w:r>
    </w:p>
    <w:p w:rsidR="008549EF" w:rsidRPr="0036204B" w:rsidRDefault="0036204B" w:rsidP="0036204B">
      <w:pPr>
        <w:pStyle w:val="ListParagraph"/>
        <w:numPr>
          <w:ilvl w:val="0"/>
          <w:numId w:val="11"/>
        </w:numPr>
        <w:spacing w:after="120" w:line="240" w:lineRule="auto"/>
        <w:contextualSpacing w:val="0"/>
        <w:rPr>
          <w:rFonts w:ascii="Tw Cen MT" w:hAnsi="Tw Cen MT" w:cs="Calibri"/>
          <w:sz w:val="24"/>
          <w:szCs w:val="24"/>
        </w:rPr>
      </w:pPr>
      <w:r>
        <w:rPr>
          <w:rFonts w:ascii="Tw Cen MT" w:hAnsi="Tw Cen MT" w:cs="Calibri"/>
          <w:sz w:val="24"/>
          <w:szCs w:val="24"/>
        </w:rPr>
        <w:t>Modeling team will provide a rationale for selection of model resolution and how they view that with future downscaling of ROMs-BEC for sub-regional pollution impact assessment.</w:t>
      </w:r>
      <w:r w:rsidR="008549EF" w:rsidRPr="0036204B">
        <w:rPr>
          <w:rFonts w:ascii="Tw Cen MT" w:hAnsi="Tw Cen MT" w:cs="Calibri"/>
          <w:sz w:val="24"/>
          <w:szCs w:val="24"/>
        </w:rPr>
        <w:t xml:space="preserve"> </w:t>
      </w:r>
    </w:p>
    <w:sectPr w:rsidR="008549EF" w:rsidRPr="0036204B" w:rsidSect="004B7FB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20E" w:rsidRDefault="004F720E" w:rsidP="00EF417E">
      <w:pPr>
        <w:spacing w:after="0" w:line="240" w:lineRule="auto"/>
      </w:pPr>
      <w:r>
        <w:separator/>
      </w:r>
    </w:p>
  </w:endnote>
  <w:endnote w:type="continuationSeparator" w:id="0">
    <w:p w:rsidR="004F720E" w:rsidRDefault="004F720E" w:rsidP="00EF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20E" w:rsidRDefault="004F720E" w:rsidP="00EF417E">
      <w:pPr>
        <w:spacing w:after="0" w:line="240" w:lineRule="auto"/>
      </w:pPr>
      <w:r>
        <w:separator/>
      </w:r>
    </w:p>
  </w:footnote>
  <w:footnote w:type="continuationSeparator" w:id="0">
    <w:p w:rsidR="004F720E" w:rsidRDefault="004F720E" w:rsidP="00EF4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FDC" w:rsidRPr="003D2FDC" w:rsidRDefault="004F720E" w:rsidP="00F27EEF">
    <w:pPr>
      <w:pStyle w:val="Header"/>
      <w:tabs>
        <w:tab w:val="clear" w:pos="4680"/>
        <w:tab w:val="clear" w:pos="9360"/>
      </w:tabs>
      <w:ind w:left="4410" w:hanging="990"/>
      <w:jc w:val="right"/>
      <w:rPr>
        <w:color w:val="000000" w:themeColor="text1"/>
      </w:rPr>
    </w:pPr>
  </w:p>
  <w:p w:rsidR="003D2FDC" w:rsidRPr="003D2FDC" w:rsidRDefault="004F720E" w:rsidP="003D2FDC">
    <w:pPr>
      <w:pStyle w:val="Header"/>
      <w:ind w:left="4680" w:hanging="1260"/>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68B3"/>
    <w:multiLevelType w:val="hybridMultilevel"/>
    <w:tmpl w:val="F4F26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693F"/>
    <w:multiLevelType w:val="hybridMultilevel"/>
    <w:tmpl w:val="24A41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E5F8F"/>
    <w:multiLevelType w:val="hybridMultilevel"/>
    <w:tmpl w:val="8CF2C6CA"/>
    <w:lvl w:ilvl="0" w:tplc="01569190">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59710B"/>
    <w:multiLevelType w:val="hybridMultilevel"/>
    <w:tmpl w:val="0BD8C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97DD5"/>
    <w:multiLevelType w:val="hybridMultilevel"/>
    <w:tmpl w:val="71A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E3B0C"/>
    <w:multiLevelType w:val="hybridMultilevel"/>
    <w:tmpl w:val="2D8A7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E574B"/>
    <w:multiLevelType w:val="hybridMultilevel"/>
    <w:tmpl w:val="21F07E82"/>
    <w:lvl w:ilvl="0" w:tplc="A21E0594">
      <w:start w:val="1"/>
      <w:numFmt w:val="bullet"/>
      <w:lvlText w:val="•"/>
      <w:lvlJc w:val="left"/>
      <w:pPr>
        <w:tabs>
          <w:tab w:val="num" w:pos="720"/>
        </w:tabs>
        <w:ind w:left="720" w:hanging="360"/>
      </w:pPr>
      <w:rPr>
        <w:rFonts w:ascii="Arial" w:hAnsi="Arial" w:hint="default"/>
      </w:rPr>
    </w:lvl>
    <w:lvl w:ilvl="1" w:tplc="7B5E3466">
      <w:start w:val="61"/>
      <w:numFmt w:val="bullet"/>
      <w:lvlText w:val=""/>
      <w:lvlJc w:val="left"/>
      <w:pPr>
        <w:tabs>
          <w:tab w:val="num" w:pos="1440"/>
        </w:tabs>
        <w:ind w:left="1440" w:hanging="360"/>
      </w:pPr>
      <w:rPr>
        <w:rFonts w:ascii="Tw Cen MT" w:hAnsi="Tw Cen MT" w:hint="default"/>
      </w:rPr>
    </w:lvl>
    <w:lvl w:ilvl="2" w:tplc="ABB004DA" w:tentative="1">
      <w:start w:val="1"/>
      <w:numFmt w:val="bullet"/>
      <w:lvlText w:val="•"/>
      <w:lvlJc w:val="left"/>
      <w:pPr>
        <w:tabs>
          <w:tab w:val="num" w:pos="2160"/>
        </w:tabs>
        <w:ind w:left="2160" w:hanging="360"/>
      </w:pPr>
      <w:rPr>
        <w:rFonts w:ascii="Arial" w:hAnsi="Arial" w:hint="default"/>
      </w:rPr>
    </w:lvl>
    <w:lvl w:ilvl="3" w:tplc="594668D2" w:tentative="1">
      <w:start w:val="1"/>
      <w:numFmt w:val="bullet"/>
      <w:lvlText w:val="•"/>
      <w:lvlJc w:val="left"/>
      <w:pPr>
        <w:tabs>
          <w:tab w:val="num" w:pos="2880"/>
        </w:tabs>
        <w:ind w:left="2880" w:hanging="360"/>
      </w:pPr>
      <w:rPr>
        <w:rFonts w:ascii="Arial" w:hAnsi="Arial" w:hint="default"/>
      </w:rPr>
    </w:lvl>
    <w:lvl w:ilvl="4" w:tplc="C62E69E4" w:tentative="1">
      <w:start w:val="1"/>
      <w:numFmt w:val="bullet"/>
      <w:lvlText w:val="•"/>
      <w:lvlJc w:val="left"/>
      <w:pPr>
        <w:tabs>
          <w:tab w:val="num" w:pos="3600"/>
        </w:tabs>
        <w:ind w:left="3600" w:hanging="360"/>
      </w:pPr>
      <w:rPr>
        <w:rFonts w:ascii="Arial" w:hAnsi="Arial" w:hint="default"/>
      </w:rPr>
    </w:lvl>
    <w:lvl w:ilvl="5" w:tplc="ECA295C0" w:tentative="1">
      <w:start w:val="1"/>
      <w:numFmt w:val="bullet"/>
      <w:lvlText w:val="•"/>
      <w:lvlJc w:val="left"/>
      <w:pPr>
        <w:tabs>
          <w:tab w:val="num" w:pos="4320"/>
        </w:tabs>
        <w:ind w:left="4320" w:hanging="360"/>
      </w:pPr>
      <w:rPr>
        <w:rFonts w:ascii="Arial" w:hAnsi="Arial" w:hint="default"/>
      </w:rPr>
    </w:lvl>
    <w:lvl w:ilvl="6" w:tplc="5D5CFB7A" w:tentative="1">
      <w:start w:val="1"/>
      <w:numFmt w:val="bullet"/>
      <w:lvlText w:val="•"/>
      <w:lvlJc w:val="left"/>
      <w:pPr>
        <w:tabs>
          <w:tab w:val="num" w:pos="5040"/>
        </w:tabs>
        <w:ind w:left="5040" w:hanging="360"/>
      </w:pPr>
      <w:rPr>
        <w:rFonts w:ascii="Arial" w:hAnsi="Arial" w:hint="default"/>
      </w:rPr>
    </w:lvl>
    <w:lvl w:ilvl="7" w:tplc="40F69E72" w:tentative="1">
      <w:start w:val="1"/>
      <w:numFmt w:val="bullet"/>
      <w:lvlText w:val="•"/>
      <w:lvlJc w:val="left"/>
      <w:pPr>
        <w:tabs>
          <w:tab w:val="num" w:pos="5760"/>
        </w:tabs>
        <w:ind w:left="5760" w:hanging="360"/>
      </w:pPr>
      <w:rPr>
        <w:rFonts w:ascii="Arial" w:hAnsi="Arial" w:hint="default"/>
      </w:rPr>
    </w:lvl>
    <w:lvl w:ilvl="8" w:tplc="11CAC1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0C6A99"/>
    <w:multiLevelType w:val="hybridMultilevel"/>
    <w:tmpl w:val="A0509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96175"/>
    <w:multiLevelType w:val="hybridMultilevel"/>
    <w:tmpl w:val="1AC45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133EB"/>
    <w:multiLevelType w:val="hybridMultilevel"/>
    <w:tmpl w:val="72FCB41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95016B"/>
    <w:multiLevelType w:val="hybridMultilevel"/>
    <w:tmpl w:val="04E40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3C5B9C"/>
    <w:multiLevelType w:val="hybridMultilevel"/>
    <w:tmpl w:val="69BCC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1"/>
  </w:num>
  <w:num w:numId="5">
    <w:abstractNumId w:val="4"/>
  </w:num>
  <w:num w:numId="6">
    <w:abstractNumId w:val="10"/>
  </w:num>
  <w:num w:numId="7">
    <w:abstractNumId w:val="9"/>
  </w:num>
  <w:num w:numId="8">
    <w:abstractNumId w:val="3"/>
  </w:num>
  <w:num w:numId="9">
    <w:abstractNumId w:val="7"/>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24"/>
    <w:rsid w:val="0001636B"/>
    <w:rsid w:val="00094EBC"/>
    <w:rsid w:val="000C061E"/>
    <w:rsid w:val="000C3651"/>
    <w:rsid w:val="00126942"/>
    <w:rsid w:val="00126CA2"/>
    <w:rsid w:val="00132FB0"/>
    <w:rsid w:val="001559E8"/>
    <w:rsid w:val="001A4554"/>
    <w:rsid w:val="001B2E4C"/>
    <w:rsid w:val="001E5990"/>
    <w:rsid w:val="00223C82"/>
    <w:rsid w:val="00245C13"/>
    <w:rsid w:val="00253AA7"/>
    <w:rsid w:val="0026093F"/>
    <w:rsid w:val="00274BE2"/>
    <w:rsid w:val="00280A0D"/>
    <w:rsid w:val="002936D7"/>
    <w:rsid w:val="002937A7"/>
    <w:rsid w:val="002A57C6"/>
    <w:rsid w:val="002D3CCF"/>
    <w:rsid w:val="0036204B"/>
    <w:rsid w:val="00420D3A"/>
    <w:rsid w:val="004224E1"/>
    <w:rsid w:val="00441AAC"/>
    <w:rsid w:val="0045555E"/>
    <w:rsid w:val="00461669"/>
    <w:rsid w:val="00474B98"/>
    <w:rsid w:val="004A476F"/>
    <w:rsid w:val="004B7FBF"/>
    <w:rsid w:val="004C7745"/>
    <w:rsid w:val="004E2AD2"/>
    <w:rsid w:val="004F2B0F"/>
    <w:rsid w:val="004F720E"/>
    <w:rsid w:val="005006E5"/>
    <w:rsid w:val="005252E5"/>
    <w:rsid w:val="00573633"/>
    <w:rsid w:val="00574496"/>
    <w:rsid w:val="00576B4D"/>
    <w:rsid w:val="005A4736"/>
    <w:rsid w:val="005D31D1"/>
    <w:rsid w:val="005E7662"/>
    <w:rsid w:val="00607E24"/>
    <w:rsid w:val="0062220A"/>
    <w:rsid w:val="00694152"/>
    <w:rsid w:val="006B3030"/>
    <w:rsid w:val="006E4330"/>
    <w:rsid w:val="006F25A5"/>
    <w:rsid w:val="00726505"/>
    <w:rsid w:val="00743B44"/>
    <w:rsid w:val="00762BEA"/>
    <w:rsid w:val="007815C5"/>
    <w:rsid w:val="007A2213"/>
    <w:rsid w:val="007E6346"/>
    <w:rsid w:val="007F0B06"/>
    <w:rsid w:val="007F2A7B"/>
    <w:rsid w:val="00822493"/>
    <w:rsid w:val="008549EF"/>
    <w:rsid w:val="008C432C"/>
    <w:rsid w:val="008E2AF7"/>
    <w:rsid w:val="009C51DD"/>
    <w:rsid w:val="00AC006C"/>
    <w:rsid w:val="00AC2D43"/>
    <w:rsid w:val="00AC2FDA"/>
    <w:rsid w:val="00B14470"/>
    <w:rsid w:val="00B378DC"/>
    <w:rsid w:val="00B83B4D"/>
    <w:rsid w:val="00BE0666"/>
    <w:rsid w:val="00BE5F3A"/>
    <w:rsid w:val="00C33A8D"/>
    <w:rsid w:val="00C43019"/>
    <w:rsid w:val="00C571ED"/>
    <w:rsid w:val="00C72F87"/>
    <w:rsid w:val="00CA7DFB"/>
    <w:rsid w:val="00D04A5A"/>
    <w:rsid w:val="00D1025A"/>
    <w:rsid w:val="00D225F6"/>
    <w:rsid w:val="00D47A41"/>
    <w:rsid w:val="00DA6BDD"/>
    <w:rsid w:val="00DB263B"/>
    <w:rsid w:val="00DD59FA"/>
    <w:rsid w:val="00E115AC"/>
    <w:rsid w:val="00E23F0E"/>
    <w:rsid w:val="00E91486"/>
    <w:rsid w:val="00EC3DBD"/>
    <w:rsid w:val="00EF417E"/>
    <w:rsid w:val="00F235DD"/>
    <w:rsid w:val="00F252F9"/>
    <w:rsid w:val="00FE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27A5A-A3D1-42C0-A4E4-E8BB2920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17E"/>
    <w:pPr>
      <w:spacing w:line="276" w:lineRule="auto"/>
      <w:ind w:left="720"/>
      <w:contextualSpacing/>
    </w:pPr>
    <w:rPr>
      <w:rFonts w:eastAsiaTheme="minorEastAsia"/>
      <w:sz w:val="21"/>
      <w:szCs w:val="21"/>
    </w:rPr>
  </w:style>
  <w:style w:type="paragraph" w:customStyle="1" w:styleId="Default">
    <w:name w:val="Default"/>
    <w:rsid w:val="00EF417E"/>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EF417E"/>
    <w:pPr>
      <w:tabs>
        <w:tab w:val="center" w:pos="4680"/>
        <w:tab w:val="right" w:pos="9360"/>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EF417E"/>
    <w:rPr>
      <w:rFonts w:eastAsiaTheme="minorEastAsia"/>
      <w:sz w:val="21"/>
      <w:szCs w:val="21"/>
    </w:rPr>
  </w:style>
  <w:style w:type="paragraph" w:styleId="Footer">
    <w:name w:val="footer"/>
    <w:basedOn w:val="Normal"/>
    <w:link w:val="FooterChar"/>
    <w:uiPriority w:val="99"/>
    <w:unhideWhenUsed/>
    <w:rsid w:val="00EF417E"/>
    <w:pPr>
      <w:tabs>
        <w:tab w:val="center" w:pos="4680"/>
        <w:tab w:val="right" w:pos="9360"/>
      </w:tabs>
      <w:spacing w:after="0" w:line="240" w:lineRule="auto"/>
    </w:pPr>
    <w:rPr>
      <w:rFonts w:eastAsiaTheme="minorEastAsia"/>
      <w:sz w:val="21"/>
      <w:szCs w:val="21"/>
    </w:rPr>
  </w:style>
  <w:style w:type="character" w:customStyle="1" w:styleId="FooterChar">
    <w:name w:val="Footer Char"/>
    <w:basedOn w:val="DefaultParagraphFont"/>
    <w:link w:val="Footer"/>
    <w:uiPriority w:val="99"/>
    <w:rsid w:val="00EF417E"/>
    <w:rPr>
      <w:rFonts w:eastAsiaTheme="minorEastAsia"/>
      <w:sz w:val="21"/>
      <w:szCs w:val="21"/>
    </w:rPr>
  </w:style>
  <w:style w:type="character" w:styleId="Hyperlink">
    <w:name w:val="Hyperlink"/>
    <w:basedOn w:val="DefaultParagraphFont"/>
    <w:uiPriority w:val="99"/>
    <w:unhideWhenUsed/>
    <w:rsid w:val="00EF417E"/>
    <w:rPr>
      <w:color w:val="0000FF"/>
      <w:u w:val="single"/>
    </w:rPr>
  </w:style>
  <w:style w:type="paragraph" w:styleId="BalloonText">
    <w:name w:val="Balloon Text"/>
    <w:basedOn w:val="Normal"/>
    <w:link w:val="BalloonTextChar"/>
    <w:uiPriority w:val="99"/>
    <w:semiHidden/>
    <w:unhideWhenUsed/>
    <w:rsid w:val="00455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5E"/>
    <w:rPr>
      <w:rFonts w:ascii="Segoe UI" w:hAnsi="Segoe UI" w:cs="Segoe UI"/>
      <w:sz w:val="18"/>
      <w:szCs w:val="18"/>
    </w:rPr>
  </w:style>
  <w:style w:type="character" w:styleId="CommentReference">
    <w:name w:val="annotation reference"/>
    <w:basedOn w:val="DefaultParagraphFont"/>
    <w:uiPriority w:val="99"/>
    <w:semiHidden/>
    <w:unhideWhenUsed/>
    <w:rsid w:val="00AC2FDA"/>
    <w:rPr>
      <w:sz w:val="16"/>
      <w:szCs w:val="16"/>
    </w:rPr>
  </w:style>
  <w:style w:type="paragraph" w:styleId="CommentText">
    <w:name w:val="annotation text"/>
    <w:basedOn w:val="Normal"/>
    <w:link w:val="CommentTextChar"/>
    <w:uiPriority w:val="99"/>
    <w:semiHidden/>
    <w:unhideWhenUsed/>
    <w:rsid w:val="00AC2FDA"/>
    <w:pPr>
      <w:spacing w:line="240" w:lineRule="auto"/>
    </w:pPr>
    <w:rPr>
      <w:sz w:val="20"/>
      <w:szCs w:val="20"/>
    </w:rPr>
  </w:style>
  <w:style w:type="character" w:customStyle="1" w:styleId="CommentTextChar">
    <w:name w:val="Comment Text Char"/>
    <w:basedOn w:val="DefaultParagraphFont"/>
    <w:link w:val="CommentText"/>
    <w:uiPriority w:val="99"/>
    <w:semiHidden/>
    <w:rsid w:val="00AC2FDA"/>
    <w:rPr>
      <w:sz w:val="20"/>
      <w:szCs w:val="20"/>
    </w:rPr>
  </w:style>
  <w:style w:type="paragraph" w:styleId="CommentSubject">
    <w:name w:val="annotation subject"/>
    <w:basedOn w:val="CommentText"/>
    <w:next w:val="CommentText"/>
    <w:link w:val="CommentSubjectChar"/>
    <w:uiPriority w:val="99"/>
    <w:semiHidden/>
    <w:unhideWhenUsed/>
    <w:rsid w:val="00AC2FDA"/>
    <w:rPr>
      <w:b/>
      <w:bCs/>
    </w:rPr>
  </w:style>
  <w:style w:type="character" w:customStyle="1" w:styleId="CommentSubjectChar">
    <w:name w:val="Comment Subject Char"/>
    <w:basedOn w:val="CommentTextChar"/>
    <w:link w:val="CommentSubject"/>
    <w:uiPriority w:val="99"/>
    <w:semiHidden/>
    <w:rsid w:val="00AC2F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25791">
      <w:bodyDiv w:val="1"/>
      <w:marLeft w:val="0"/>
      <w:marRight w:val="0"/>
      <w:marTop w:val="0"/>
      <w:marBottom w:val="0"/>
      <w:divBdr>
        <w:top w:val="none" w:sz="0" w:space="0" w:color="auto"/>
        <w:left w:val="none" w:sz="0" w:space="0" w:color="auto"/>
        <w:bottom w:val="none" w:sz="0" w:space="0" w:color="auto"/>
        <w:right w:val="none" w:sz="0" w:space="0" w:color="auto"/>
      </w:divBdr>
      <w:divsChild>
        <w:div w:id="1043016451">
          <w:marLeft w:val="274"/>
          <w:marRight w:val="0"/>
          <w:marTop w:val="120"/>
          <w:marBottom w:val="120"/>
          <w:divBdr>
            <w:top w:val="none" w:sz="0" w:space="0" w:color="auto"/>
            <w:left w:val="none" w:sz="0" w:space="0" w:color="auto"/>
            <w:bottom w:val="none" w:sz="0" w:space="0" w:color="auto"/>
            <w:right w:val="none" w:sz="0" w:space="0" w:color="auto"/>
          </w:divBdr>
        </w:div>
        <w:div w:id="321279737">
          <w:marLeft w:val="274"/>
          <w:marRight w:val="0"/>
          <w:marTop w:val="120"/>
          <w:marBottom w:val="120"/>
          <w:divBdr>
            <w:top w:val="none" w:sz="0" w:space="0" w:color="auto"/>
            <w:left w:val="none" w:sz="0" w:space="0" w:color="auto"/>
            <w:bottom w:val="none" w:sz="0" w:space="0" w:color="auto"/>
            <w:right w:val="none" w:sz="0" w:space="0" w:color="auto"/>
          </w:divBdr>
        </w:div>
        <w:div w:id="54397164">
          <w:marLeft w:val="274"/>
          <w:marRight w:val="0"/>
          <w:marTop w:val="120"/>
          <w:marBottom w:val="120"/>
          <w:divBdr>
            <w:top w:val="none" w:sz="0" w:space="0" w:color="auto"/>
            <w:left w:val="none" w:sz="0" w:space="0" w:color="auto"/>
            <w:bottom w:val="none" w:sz="0" w:space="0" w:color="auto"/>
            <w:right w:val="none" w:sz="0" w:space="0" w:color="auto"/>
          </w:divBdr>
        </w:div>
        <w:div w:id="1958562038">
          <w:marLeft w:val="806"/>
          <w:marRight w:val="0"/>
          <w:marTop w:val="120"/>
          <w:marBottom w:val="120"/>
          <w:divBdr>
            <w:top w:val="none" w:sz="0" w:space="0" w:color="auto"/>
            <w:left w:val="none" w:sz="0" w:space="0" w:color="auto"/>
            <w:bottom w:val="none" w:sz="0" w:space="0" w:color="auto"/>
            <w:right w:val="none" w:sz="0" w:space="0" w:color="auto"/>
          </w:divBdr>
        </w:div>
        <w:div w:id="1954900137">
          <w:marLeft w:val="274"/>
          <w:marRight w:val="0"/>
          <w:marTop w:val="120"/>
          <w:marBottom w:val="120"/>
          <w:divBdr>
            <w:top w:val="none" w:sz="0" w:space="0" w:color="auto"/>
            <w:left w:val="none" w:sz="0" w:space="0" w:color="auto"/>
            <w:bottom w:val="none" w:sz="0" w:space="0" w:color="auto"/>
            <w:right w:val="none" w:sz="0" w:space="0" w:color="auto"/>
          </w:divBdr>
        </w:div>
        <w:div w:id="1125780709">
          <w:marLeft w:val="806"/>
          <w:marRight w:val="0"/>
          <w:marTop w:val="120"/>
          <w:marBottom w:val="120"/>
          <w:divBdr>
            <w:top w:val="none" w:sz="0" w:space="0" w:color="auto"/>
            <w:left w:val="none" w:sz="0" w:space="0" w:color="auto"/>
            <w:bottom w:val="none" w:sz="0" w:space="0" w:color="auto"/>
            <w:right w:val="none" w:sz="0" w:space="0" w:color="auto"/>
          </w:divBdr>
        </w:div>
        <w:div w:id="1390616502">
          <w:marLeft w:val="806"/>
          <w:marRight w:val="0"/>
          <w:marTop w:val="120"/>
          <w:marBottom w:val="120"/>
          <w:divBdr>
            <w:top w:val="none" w:sz="0" w:space="0" w:color="auto"/>
            <w:left w:val="none" w:sz="0" w:space="0" w:color="auto"/>
            <w:bottom w:val="none" w:sz="0" w:space="0" w:color="auto"/>
            <w:right w:val="none" w:sz="0" w:space="0" w:color="auto"/>
          </w:divBdr>
        </w:div>
      </w:divsChild>
    </w:div>
    <w:div w:id="1339968831">
      <w:bodyDiv w:val="1"/>
      <w:marLeft w:val="0"/>
      <w:marRight w:val="0"/>
      <w:marTop w:val="0"/>
      <w:marBottom w:val="0"/>
      <w:divBdr>
        <w:top w:val="none" w:sz="0" w:space="0" w:color="auto"/>
        <w:left w:val="none" w:sz="0" w:space="0" w:color="auto"/>
        <w:bottom w:val="none" w:sz="0" w:space="0" w:color="auto"/>
        <w:right w:val="none" w:sz="0" w:space="0" w:color="auto"/>
      </w:divBdr>
      <w:divsChild>
        <w:div w:id="1414089070">
          <w:marLeft w:val="274"/>
          <w:marRight w:val="0"/>
          <w:marTop w:val="120"/>
          <w:marBottom w:val="120"/>
          <w:divBdr>
            <w:top w:val="none" w:sz="0" w:space="0" w:color="auto"/>
            <w:left w:val="none" w:sz="0" w:space="0" w:color="auto"/>
            <w:bottom w:val="none" w:sz="0" w:space="0" w:color="auto"/>
            <w:right w:val="none" w:sz="0" w:space="0" w:color="auto"/>
          </w:divBdr>
        </w:div>
        <w:div w:id="729111214">
          <w:marLeft w:val="274"/>
          <w:marRight w:val="0"/>
          <w:marTop w:val="120"/>
          <w:marBottom w:val="120"/>
          <w:divBdr>
            <w:top w:val="none" w:sz="0" w:space="0" w:color="auto"/>
            <w:left w:val="none" w:sz="0" w:space="0" w:color="auto"/>
            <w:bottom w:val="none" w:sz="0" w:space="0" w:color="auto"/>
            <w:right w:val="none" w:sz="0" w:space="0" w:color="auto"/>
          </w:divBdr>
        </w:div>
        <w:div w:id="2016885283">
          <w:marLeft w:val="274"/>
          <w:marRight w:val="0"/>
          <w:marTop w:val="120"/>
          <w:marBottom w:val="120"/>
          <w:divBdr>
            <w:top w:val="none" w:sz="0" w:space="0" w:color="auto"/>
            <w:left w:val="none" w:sz="0" w:space="0" w:color="auto"/>
            <w:bottom w:val="none" w:sz="0" w:space="0" w:color="auto"/>
            <w:right w:val="none" w:sz="0" w:space="0" w:color="auto"/>
          </w:divBdr>
        </w:div>
        <w:div w:id="1568682070">
          <w:marLeft w:val="806"/>
          <w:marRight w:val="0"/>
          <w:marTop w:val="120"/>
          <w:marBottom w:val="120"/>
          <w:divBdr>
            <w:top w:val="none" w:sz="0" w:space="0" w:color="auto"/>
            <w:left w:val="none" w:sz="0" w:space="0" w:color="auto"/>
            <w:bottom w:val="none" w:sz="0" w:space="0" w:color="auto"/>
            <w:right w:val="none" w:sz="0" w:space="0" w:color="auto"/>
          </w:divBdr>
        </w:div>
        <w:div w:id="607393686">
          <w:marLeft w:val="274"/>
          <w:marRight w:val="0"/>
          <w:marTop w:val="120"/>
          <w:marBottom w:val="120"/>
          <w:divBdr>
            <w:top w:val="none" w:sz="0" w:space="0" w:color="auto"/>
            <w:left w:val="none" w:sz="0" w:space="0" w:color="auto"/>
            <w:bottom w:val="none" w:sz="0" w:space="0" w:color="auto"/>
            <w:right w:val="none" w:sz="0" w:space="0" w:color="auto"/>
          </w:divBdr>
        </w:div>
        <w:div w:id="712267179">
          <w:marLeft w:val="806"/>
          <w:marRight w:val="0"/>
          <w:marTop w:val="120"/>
          <w:marBottom w:val="120"/>
          <w:divBdr>
            <w:top w:val="none" w:sz="0" w:space="0" w:color="auto"/>
            <w:left w:val="none" w:sz="0" w:space="0" w:color="auto"/>
            <w:bottom w:val="none" w:sz="0" w:space="0" w:color="auto"/>
            <w:right w:val="none" w:sz="0" w:space="0" w:color="auto"/>
          </w:divBdr>
        </w:div>
        <w:div w:id="1807240530">
          <w:marLeft w:val="80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A32B2-42F9-4648-BE95-38E6EA2A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McLaughlin</dc:creator>
  <cp:keywords/>
  <dc:description/>
  <cp:lastModifiedBy>Hepner, Megan</cp:lastModifiedBy>
  <cp:revision>2</cp:revision>
  <cp:lastPrinted>2016-05-12T22:32:00Z</cp:lastPrinted>
  <dcterms:created xsi:type="dcterms:W3CDTF">2018-06-28T21:57:00Z</dcterms:created>
  <dcterms:modified xsi:type="dcterms:W3CDTF">2018-06-28T21:57:00Z</dcterms:modified>
</cp:coreProperties>
</file>